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B602" w14:textId="18B80421" w:rsidR="009261BB" w:rsidRPr="00674FAB" w:rsidRDefault="00B966E5" w:rsidP="00674FAB">
      <w:pPr>
        <w:rPr>
          <w:b/>
          <w:sz w:val="36"/>
          <w:lang w:val="en-GB"/>
        </w:rPr>
      </w:pPr>
      <w:r w:rsidRPr="00674FAB">
        <w:rPr>
          <w:b/>
          <w:sz w:val="36"/>
          <w:lang w:val="en-GB"/>
        </w:rPr>
        <w:t>Geographical Indications</w:t>
      </w:r>
      <w:r w:rsidR="004A4239" w:rsidRPr="00674FAB">
        <w:rPr>
          <w:b/>
          <w:sz w:val="36"/>
          <w:lang w:val="en-GB"/>
        </w:rPr>
        <w:t xml:space="preserve"> (GI)</w:t>
      </w:r>
    </w:p>
    <w:p w14:paraId="0B91E90A" w14:textId="77777777" w:rsidR="00172758" w:rsidRPr="00172758" w:rsidRDefault="00172758" w:rsidP="00172758">
      <w:pPr>
        <w:rPr>
          <w:lang w:val="en-US"/>
        </w:rPr>
      </w:pPr>
    </w:p>
    <w:p w14:paraId="7D43927D" w14:textId="77777777" w:rsidR="0095479F" w:rsidRPr="00BD4CC2" w:rsidRDefault="0095479F" w:rsidP="0095479F">
      <w:pPr>
        <w:spacing w:after="0" w:line="264" w:lineRule="auto"/>
        <w:jc w:val="both"/>
        <w:rPr>
          <w:rFonts w:ascii="Arial" w:hAnsi="Arial" w:cs="Arial"/>
          <w:b/>
          <w:color w:val="0070C0"/>
          <w:lang w:val="en-GB"/>
        </w:rPr>
      </w:pPr>
      <w:r w:rsidRPr="00BD4CC2">
        <w:rPr>
          <w:rFonts w:ascii="Arial" w:hAnsi="Arial" w:cs="Arial"/>
          <w:b/>
          <w:color w:val="0070C0"/>
          <w:lang w:val="en-GB"/>
        </w:rPr>
        <w:t>1. Description</w:t>
      </w:r>
      <w:r w:rsidRPr="00BD4CC2">
        <w:rPr>
          <w:rFonts w:ascii="Arial" w:hAnsi="Arial" w:cs="Arial"/>
          <w:b/>
          <w:color w:val="0070C0"/>
          <w:lang w:val="en-GB"/>
        </w:rPr>
        <w:tab/>
      </w:r>
    </w:p>
    <w:p w14:paraId="2457CC48" w14:textId="77777777" w:rsidR="0095479F" w:rsidRDefault="0095479F" w:rsidP="0095479F">
      <w:pPr>
        <w:spacing w:after="0" w:line="264" w:lineRule="auto"/>
        <w:jc w:val="both"/>
        <w:rPr>
          <w:rFonts w:ascii="Arial" w:hAnsi="Arial" w:cs="Arial"/>
          <w:color w:val="0070C0"/>
          <w:lang w:val="en-GB"/>
        </w:rPr>
      </w:pPr>
    </w:p>
    <w:p w14:paraId="5744BE32" w14:textId="77777777" w:rsidR="0095479F" w:rsidRPr="00BD4CC2" w:rsidRDefault="0095479F" w:rsidP="0095479F">
      <w:pPr>
        <w:spacing w:after="0" w:line="264" w:lineRule="auto"/>
        <w:jc w:val="both"/>
        <w:rPr>
          <w:rFonts w:ascii="Arial" w:hAnsi="Arial" w:cs="Arial"/>
          <w:color w:val="0070C0"/>
          <w:lang w:val="en-GB"/>
        </w:rPr>
      </w:pPr>
      <w:r>
        <w:rPr>
          <w:rFonts w:ascii="Arial" w:hAnsi="Arial" w:cs="Arial"/>
          <w:color w:val="0070C0"/>
          <w:lang w:val="en-GB"/>
        </w:rPr>
        <w:t>Origins, perimeter and o</w:t>
      </w:r>
      <w:r w:rsidRPr="00BD4CC2">
        <w:rPr>
          <w:rFonts w:ascii="Arial" w:hAnsi="Arial" w:cs="Arial"/>
          <w:color w:val="0070C0"/>
          <w:lang w:val="en-GB"/>
        </w:rPr>
        <w:t>bjectives</w:t>
      </w:r>
    </w:p>
    <w:p w14:paraId="03416E6B" w14:textId="77777777" w:rsidR="0095479F" w:rsidRPr="00BD4CC2" w:rsidRDefault="0095479F" w:rsidP="0095479F">
      <w:pPr>
        <w:spacing w:after="0"/>
        <w:jc w:val="both"/>
        <w:rPr>
          <w:rFonts w:ascii="Arial" w:hAnsi="Arial" w:cs="Arial"/>
          <w:lang w:val="en-GB"/>
        </w:rPr>
      </w:pPr>
    </w:p>
    <w:p w14:paraId="64A62C38" w14:textId="66831557" w:rsidR="00F3667C" w:rsidRDefault="00F552FE" w:rsidP="00B966E5">
      <w:pPr>
        <w:jc w:val="both"/>
        <w:rPr>
          <w:lang w:val="en-US"/>
        </w:rPr>
      </w:pPr>
      <w:r>
        <w:rPr>
          <w:lang w:val="en-US"/>
        </w:rPr>
        <w:t>In the world</w:t>
      </w:r>
      <w:r w:rsidR="00DD117A">
        <w:rPr>
          <w:lang w:val="en-US"/>
        </w:rPr>
        <w:t>,</w:t>
      </w:r>
      <w:r>
        <w:rPr>
          <w:lang w:val="en-US"/>
        </w:rPr>
        <w:t xml:space="preserve"> we have more than 10</w:t>
      </w:r>
      <w:r w:rsidR="00DD117A">
        <w:rPr>
          <w:lang w:val="en-US"/>
        </w:rPr>
        <w:t>.</w:t>
      </w:r>
      <w:r>
        <w:rPr>
          <w:lang w:val="en-US"/>
        </w:rPr>
        <w:t>000 Geographical Indications</w:t>
      </w:r>
      <w:r w:rsidR="004A4239">
        <w:rPr>
          <w:lang w:val="en-US"/>
        </w:rPr>
        <w:t xml:space="preserve"> (GI)</w:t>
      </w:r>
      <w:r>
        <w:rPr>
          <w:lang w:val="en-US"/>
        </w:rPr>
        <w:t xml:space="preserve">, </w:t>
      </w:r>
      <w:r w:rsidR="00DD117A">
        <w:rPr>
          <w:lang w:val="en-US"/>
        </w:rPr>
        <w:t xml:space="preserve">which are </w:t>
      </w:r>
      <w:r>
        <w:rPr>
          <w:lang w:val="en-US"/>
        </w:rPr>
        <w:t xml:space="preserve">aimed at </w:t>
      </w:r>
      <w:r w:rsidR="00D02AFA">
        <w:rPr>
          <w:lang w:val="en-US"/>
        </w:rPr>
        <w:t>“</w:t>
      </w:r>
      <w:r w:rsidR="00F3667C" w:rsidRPr="00F3667C">
        <w:rPr>
          <w:lang w:val="en-US"/>
        </w:rPr>
        <w:t>identifying a good as origi</w:t>
      </w:r>
      <w:r w:rsidR="00D02AFA">
        <w:rPr>
          <w:lang w:val="en-US"/>
        </w:rPr>
        <w:t>nating in the territory of a State</w:t>
      </w:r>
      <w:r w:rsidR="00F3667C">
        <w:rPr>
          <w:lang w:val="en-US"/>
        </w:rPr>
        <w:t xml:space="preserve">, or a region or locality in </w:t>
      </w:r>
      <w:r w:rsidR="00F3667C" w:rsidRPr="00F3667C">
        <w:rPr>
          <w:lang w:val="en-US"/>
        </w:rPr>
        <w:t>that territory, where a given quality, reputation or other characterist</w:t>
      </w:r>
      <w:r w:rsidR="00F3667C">
        <w:rPr>
          <w:lang w:val="en-US"/>
        </w:rPr>
        <w:t xml:space="preserve">ic of the good is, essentially, </w:t>
      </w:r>
      <w:r w:rsidR="00F3667C" w:rsidRPr="00F3667C">
        <w:rPr>
          <w:lang w:val="en-US"/>
        </w:rPr>
        <w:t xml:space="preserve">attributable to its geographical </w:t>
      </w:r>
      <w:proofErr w:type="gramStart"/>
      <w:r w:rsidR="00F3667C" w:rsidRPr="00F3667C">
        <w:rPr>
          <w:lang w:val="en-US"/>
        </w:rPr>
        <w:t>origin</w:t>
      </w:r>
      <w:r w:rsidR="00D02AFA">
        <w:rPr>
          <w:lang w:val="en-US"/>
        </w:rPr>
        <w:t xml:space="preserve"> ”</w:t>
      </w:r>
      <w:proofErr w:type="gramEnd"/>
      <w:r w:rsidR="00D02AFA">
        <w:rPr>
          <w:lang w:val="en-US"/>
        </w:rPr>
        <w:t xml:space="preserve"> (definition of the WTO) .</w:t>
      </w:r>
      <w:r w:rsidR="008A0B16">
        <w:rPr>
          <w:lang w:val="en-US"/>
        </w:rPr>
        <w:t xml:space="preserve"> </w:t>
      </w:r>
      <w:r w:rsidR="00A137A6">
        <w:rPr>
          <w:lang w:val="en-US"/>
        </w:rPr>
        <w:t>With the GI,</w:t>
      </w:r>
      <w:r w:rsidR="008A0B16">
        <w:rPr>
          <w:lang w:val="en-US"/>
        </w:rPr>
        <w:t xml:space="preserve"> producers </w:t>
      </w:r>
      <w:r w:rsidR="00A137A6">
        <w:rPr>
          <w:lang w:val="en-US"/>
        </w:rPr>
        <w:t>acquire</w:t>
      </w:r>
      <w:r w:rsidR="008A0B16">
        <w:rPr>
          <w:lang w:val="en-US"/>
        </w:rPr>
        <w:t xml:space="preserve"> the exclusive right to name their products after a </w:t>
      </w:r>
      <w:r w:rsidR="00A137A6">
        <w:rPr>
          <w:lang w:val="en-US"/>
        </w:rPr>
        <w:t>territory (like Champagne, Parma ham or Colombia</w:t>
      </w:r>
      <w:r w:rsidR="008A0B16">
        <w:rPr>
          <w:lang w:val="en-US"/>
        </w:rPr>
        <w:t xml:space="preserve"> coffee)</w:t>
      </w:r>
      <w:r w:rsidR="00A137A6">
        <w:rPr>
          <w:lang w:val="en-US"/>
        </w:rPr>
        <w:t xml:space="preserve">, in order to </w:t>
      </w:r>
      <w:r w:rsidR="008A0B16">
        <w:rPr>
          <w:lang w:val="en-US"/>
        </w:rPr>
        <w:t xml:space="preserve">communicate </w:t>
      </w:r>
      <w:r w:rsidR="00A137A6">
        <w:rPr>
          <w:lang w:val="en-US"/>
        </w:rPr>
        <w:t xml:space="preserve">a strong link between the product’s qualities and that territory. </w:t>
      </w:r>
      <w:r w:rsidR="008A0B16">
        <w:rPr>
          <w:lang w:val="en-US"/>
        </w:rPr>
        <w:t xml:space="preserve">  </w:t>
      </w:r>
    </w:p>
    <w:p w14:paraId="1D9F4733" w14:textId="025741D6" w:rsidR="00CD34ED" w:rsidRDefault="00252538" w:rsidP="00B966E5">
      <w:pPr>
        <w:jc w:val="both"/>
        <w:rPr>
          <w:lang w:val="en-US"/>
        </w:rPr>
      </w:pPr>
      <w:r>
        <w:rPr>
          <w:lang w:val="en-US"/>
        </w:rPr>
        <w:t>Most of these</w:t>
      </w:r>
      <w:r w:rsidR="00D02AFA">
        <w:rPr>
          <w:lang w:val="en-US"/>
        </w:rPr>
        <w:t xml:space="preserve"> products </w:t>
      </w:r>
      <w:r w:rsidR="00F552FE">
        <w:rPr>
          <w:lang w:val="en-US"/>
        </w:rPr>
        <w:t xml:space="preserve">are produced in OECD countries, </w:t>
      </w:r>
      <w:r w:rsidR="00CE1876">
        <w:rPr>
          <w:lang w:val="en-US"/>
        </w:rPr>
        <w:t xml:space="preserve">which usually employ </w:t>
      </w:r>
      <w:r w:rsidR="00D02AFA">
        <w:rPr>
          <w:lang w:val="en-US"/>
        </w:rPr>
        <w:t>G</w:t>
      </w:r>
      <w:r w:rsidR="00CE1876">
        <w:rPr>
          <w:lang w:val="en-US"/>
        </w:rPr>
        <w:t>I</w:t>
      </w:r>
      <w:r w:rsidR="00D02AFA">
        <w:rPr>
          <w:lang w:val="en-US"/>
        </w:rPr>
        <w:t xml:space="preserve">s for identifying wines, spirits or </w:t>
      </w:r>
      <w:r w:rsidR="00CD34ED">
        <w:rPr>
          <w:lang w:val="en-US"/>
        </w:rPr>
        <w:t>foods.</w:t>
      </w:r>
      <w:r w:rsidR="00A137A6">
        <w:rPr>
          <w:lang w:val="en-US"/>
        </w:rPr>
        <w:t xml:space="preserve"> </w:t>
      </w:r>
      <w:r w:rsidR="00417DCA">
        <w:rPr>
          <w:lang w:val="en-US"/>
        </w:rPr>
        <w:t>These are often</w:t>
      </w:r>
      <w:r w:rsidR="00A137A6">
        <w:rPr>
          <w:lang w:val="en-US"/>
        </w:rPr>
        <w:t xml:space="preserve"> products of high </w:t>
      </w:r>
      <w:r w:rsidR="00417DCA">
        <w:rPr>
          <w:lang w:val="en-US"/>
        </w:rPr>
        <w:t xml:space="preserve">value and make up for a consistent percentage of </w:t>
      </w:r>
      <w:proofErr w:type="spellStart"/>
      <w:r w:rsidR="00417DCA">
        <w:rPr>
          <w:lang w:val="en-US"/>
        </w:rPr>
        <w:t>agri</w:t>
      </w:r>
      <w:proofErr w:type="spellEnd"/>
      <w:r w:rsidR="00417DCA">
        <w:rPr>
          <w:lang w:val="en-US"/>
        </w:rPr>
        <w:t>-food markets and food export revenues ( e.g. France estimated</w:t>
      </w:r>
      <w:r w:rsidR="00417DCA" w:rsidRPr="00D8720E">
        <w:rPr>
          <w:lang w:val="en-US"/>
        </w:rPr>
        <w:t xml:space="preserve"> that the market value for their GI products </w:t>
      </w:r>
      <w:r w:rsidR="00417DCA">
        <w:rPr>
          <w:lang w:val="en-US"/>
        </w:rPr>
        <w:t xml:space="preserve">is almost €19 billion, </w:t>
      </w:r>
      <w:r w:rsidR="00417DCA" w:rsidRPr="00D8720E">
        <w:rPr>
          <w:lang w:val="en-US"/>
        </w:rPr>
        <w:t xml:space="preserve">or close to </w:t>
      </w:r>
      <w:r w:rsidR="00417DCA" w:rsidRPr="00417DCA">
        <w:rPr>
          <w:lang w:val="en-US"/>
        </w:rPr>
        <w:t>10% of the national food market’s total value</w:t>
      </w:r>
      <w:r w:rsidR="00417DCA">
        <w:rPr>
          <w:lang w:val="en-US"/>
        </w:rPr>
        <w:t>) (</w:t>
      </w:r>
      <w:proofErr w:type="spellStart"/>
      <w:r w:rsidR="00417DCA">
        <w:rPr>
          <w:lang w:val="en-US"/>
        </w:rPr>
        <w:t>Giovannucci</w:t>
      </w:r>
      <w:proofErr w:type="spellEnd"/>
      <w:r w:rsidR="00417DCA">
        <w:rPr>
          <w:lang w:val="en-US"/>
        </w:rPr>
        <w:t xml:space="preserve"> D., et all </w:t>
      </w:r>
      <w:r w:rsidR="00417DCA" w:rsidRPr="00417DCA">
        <w:rPr>
          <w:lang w:val="en-US"/>
        </w:rPr>
        <w:t>2009)</w:t>
      </w:r>
      <w:r w:rsidR="00417DCA">
        <w:rPr>
          <w:lang w:val="en-US"/>
        </w:rPr>
        <w:t xml:space="preserve">.  </w:t>
      </w:r>
      <w:r w:rsidR="00CD34ED">
        <w:rPr>
          <w:lang w:val="en-US"/>
        </w:rPr>
        <w:t xml:space="preserve">However developing countries increasingly use GI for food and non-food products, and in 2009 they accounted for 13% of the registered goods. </w:t>
      </w:r>
    </w:p>
    <w:p w14:paraId="30916E6B" w14:textId="391DB7BD" w:rsidR="00CD34ED" w:rsidRDefault="00252538" w:rsidP="009051DE">
      <w:pPr>
        <w:jc w:val="center"/>
        <w:rPr>
          <w:lang w:val="en-US"/>
        </w:rPr>
      </w:pPr>
      <w:r>
        <w:rPr>
          <w:noProof/>
          <w:lang w:eastAsia="fr-FR"/>
        </w:rPr>
        <w:drawing>
          <wp:inline distT="0" distB="0" distL="0" distR="0" wp14:anchorId="211DBB2E" wp14:editId="0CA2883D">
            <wp:extent cx="3352800" cy="4090675"/>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414" t="8817" r="11486" b="4107"/>
                    <a:stretch/>
                  </pic:blipFill>
                  <pic:spPr bwMode="auto">
                    <a:xfrm>
                      <a:off x="0" y="0"/>
                      <a:ext cx="3353443" cy="4091459"/>
                    </a:xfrm>
                    <a:prstGeom prst="rect">
                      <a:avLst/>
                    </a:prstGeom>
                    <a:ln>
                      <a:noFill/>
                    </a:ln>
                    <a:extLst>
                      <a:ext uri="{53640926-AAD7-44D8-BBD7-CCE9431645EC}">
                        <a14:shadowObscured xmlns:a14="http://schemas.microsoft.com/office/drawing/2010/main"/>
                      </a:ext>
                    </a:extLst>
                  </pic:spPr>
                </pic:pic>
              </a:graphicData>
            </a:graphic>
          </wp:inline>
        </w:drawing>
      </w:r>
    </w:p>
    <w:p w14:paraId="08045B5A" w14:textId="77777777" w:rsidR="00252538" w:rsidRDefault="00252538" w:rsidP="00252538">
      <w:pPr>
        <w:spacing w:after="0"/>
        <w:rPr>
          <w:lang w:val="en-US"/>
        </w:rPr>
      </w:pPr>
    </w:p>
    <w:p w14:paraId="3C7FDBD5" w14:textId="00A2FE59" w:rsidR="00CD34ED" w:rsidRPr="001C3B70" w:rsidRDefault="00CD34ED" w:rsidP="00252538">
      <w:pPr>
        <w:spacing w:after="0"/>
        <w:jc w:val="center"/>
        <w:rPr>
          <w:i/>
          <w:sz w:val="20"/>
        </w:rPr>
      </w:pPr>
      <w:proofErr w:type="gramStart"/>
      <w:r w:rsidRPr="001C3B70">
        <w:rPr>
          <w:i/>
          <w:sz w:val="20"/>
        </w:rPr>
        <w:t>Source:</w:t>
      </w:r>
      <w:proofErr w:type="gramEnd"/>
      <w:r w:rsidRPr="001C3B70">
        <w:rPr>
          <w:i/>
          <w:sz w:val="20"/>
        </w:rPr>
        <w:t xml:space="preserve"> </w:t>
      </w:r>
      <w:proofErr w:type="spellStart"/>
      <w:r w:rsidRPr="001C3B70">
        <w:rPr>
          <w:i/>
          <w:sz w:val="20"/>
        </w:rPr>
        <w:t>Giovannucci</w:t>
      </w:r>
      <w:proofErr w:type="spellEnd"/>
      <w:r w:rsidRPr="001C3B70">
        <w:rPr>
          <w:i/>
          <w:sz w:val="20"/>
        </w:rPr>
        <w:t xml:space="preserve"> D</w:t>
      </w:r>
      <w:r w:rsidR="00252538" w:rsidRPr="001C3B70">
        <w:rPr>
          <w:i/>
          <w:sz w:val="20"/>
        </w:rPr>
        <w:t>.</w:t>
      </w:r>
      <w:r w:rsidRPr="001C3B70">
        <w:rPr>
          <w:i/>
          <w:sz w:val="20"/>
        </w:rPr>
        <w:t>, et all (2009)</w:t>
      </w:r>
    </w:p>
    <w:p w14:paraId="5645C321" w14:textId="77777777" w:rsidR="00CD34ED" w:rsidRPr="001C3B70" w:rsidRDefault="00CD34ED" w:rsidP="00CD34ED">
      <w:pPr>
        <w:jc w:val="center"/>
        <w:rPr>
          <w:i/>
          <w:sz w:val="20"/>
        </w:rPr>
      </w:pPr>
    </w:p>
    <w:p w14:paraId="2A3D410E" w14:textId="14FEECBD" w:rsidR="008A0B16" w:rsidRPr="00F223BE" w:rsidRDefault="00252538" w:rsidP="00B966E5">
      <w:pPr>
        <w:jc w:val="both"/>
        <w:rPr>
          <w:lang w:val="en-US"/>
        </w:rPr>
      </w:pPr>
      <w:r w:rsidRPr="00252538">
        <w:rPr>
          <w:lang w:val="en-US"/>
        </w:rPr>
        <w:lastRenderedPageBreak/>
        <w:t>The</w:t>
      </w:r>
      <w:r>
        <w:rPr>
          <w:lang w:val="en-US"/>
        </w:rPr>
        <w:t xml:space="preserve">se 10.000 products form </w:t>
      </w:r>
      <w:r w:rsidR="008A683C">
        <w:rPr>
          <w:lang w:val="en-US"/>
        </w:rPr>
        <w:t xml:space="preserve">a very </w:t>
      </w:r>
      <w:r>
        <w:rPr>
          <w:lang w:val="en-US"/>
        </w:rPr>
        <w:t>heterogeneous</w:t>
      </w:r>
      <w:r w:rsidR="008A683C">
        <w:rPr>
          <w:lang w:val="en-US"/>
        </w:rPr>
        <w:t xml:space="preserve"> group</w:t>
      </w:r>
      <w:r>
        <w:rPr>
          <w:lang w:val="en-US"/>
        </w:rPr>
        <w:t>, where we can find different</w:t>
      </w:r>
      <w:r w:rsidR="00417DCA">
        <w:rPr>
          <w:lang w:val="en-US"/>
        </w:rPr>
        <w:t xml:space="preserve"> production and commercial</w:t>
      </w:r>
      <w:r>
        <w:rPr>
          <w:lang w:val="en-US"/>
        </w:rPr>
        <w:t xml:space="preserve"> experiences</w:t>
      </w:r>
      <w:r w:rsidR="00417DCA">
        <w:rPr>
          <w:lang w:val="en-US"/>
        </w:rPr>
        <w:t>.</w:t>
      </w:r>
      <w:r>
        <w:rPr>
          <w:lang w:val="en-US"/>
        </w:rPr>
        <w:t xml:space="preserve"> </w:t>
      </w:r>
      <w:r w:rsidR="00C477D8">
        <w:rPr>
          <w:lang w:val="en-US"/>
        </w:rPr>
        <w:t>Indeed, e</w:t>
      </w:r>
      <w:r w:rsidR="00CE1876">
        <w:rPr>
          <w:lang w:val="en-US"/>
        </w:rPr>
        <w:t xml:space="preserve">very </w:t>
      </w:r>
      <w:r w:rsidR="00546ACC">
        <w:rPr>
          <w:lang w:val="en-US"/>
        </w:rPr>
        <w:t>G</w:t>
      </w:r>
      <w:r w:rsidR="00CE1876">
        <w:rPr>
          <w:lang w:val="en-US"/>
        </w:rPr>
        <w:t>I</w:t>
      </w:r>
      <w:r w:rsidR="00546ACC">
        <w:rPr>
          <w:lang w:val="en-US"/>
        </w:rPr>
        <w:t xml:space="preserve"> can be considered as an ad hoc case, because </w:t>
      </w:r>
      <w:r w:rsidR="007F4793">
        <w:rPr>
          <w:lang w:val="en-US"/>
        </w:rPr>
        <w:t xml:space="preserve">the group of producers of each </w:t>
      </w:r>
      <w:r w:rsidR="00546ACC">
        <w:rPr>
          <w:lang w:val="en-US"/>
        </w:rPr>
        <w:t>G</w:t>
      </w:r>
      <w:r w:rsidR="007F4793">
        <w:rPr>
          <w:lang w:val="en-US"/>
        </w:rPr>
        <w:t>I</w:t>
      </w:r>
      <w:r w:rsidR="00546ACC">
        <w:rPr>
          <w:lang w:val="en-US"/>
        </w:rPr>
        <w:t xml:space="preserve"> define</w:t>
      </w:r>
      <w:r w:rsidR="00CB3EFD">
        <w:rPr>
          <w:lang w:val="en-US"/>
        </w:rPr>
        <w:t>s</w:t>
      </w:r>
      <w:r w:rsidR="00546ACC">
        <w:rPr>
          <w:lang w:val="en-US"/>
        </w:rPr>
        <w:t xml:space="preserve"> </w:t>
      </w:r>
      <w:r w:rsidR="00CB3EFD">
        <w:rPr>
          <w:lang w:val="en-US"/>
        </w:rPr>
        <w:t>a</w:t>
      </w:r>
      <w:r w:rsidR="00CE1876">
        <w:rPr>
          <w:lang w:val="en-US"/>
        </w:rPr>
        <w:t>utonomously – even if within an</w:t>
      </w:r>
      <w:r w:rsidR="00CB3EFD">
        <w:rPr>
          <w:lang w:val="en-US"/>
        </w:rPr>
        <w:t xml:space="preserve"> institutional framework - </w:t>
      </w:r>
      <w:r w:rsidR="00546ACC">
        <w:rPr>
          <w:lang w:val="en-US"/>
        </w:rPr>
        <w:t xml:space="preserve">the requirements needed for using </w:t>
      </w:r>
      <w:r w:rsidR="00CB3EFD">
        <w:rPr>
          <w:lang w:val="en-US"/>
        </w:rPr>
        <w:t xml:space="preserve">the registered name. </w:t>
      </w:r>
      <w:r w:rsidR="001C3B70">
        <w:rPr>
          <w:lang w:val="en-US"/>
        </w:rPr>
        <w:t>So, if a</w:t>
      </w:r>
      <w:r w:rsidR="00CB3EFD">
        <w:rPr>
          <w:lang w:val="en-US"/>
        </w:rPr>
        <w:t xml:space="preserve">ll </w:t>
      </w:r>
      <w:r w:rsidR="007F4793">
        <w:rPr>
          <w:lang w:val="en-US"/>
        </w:rPr>
        <w:t>“codes</w:t>
      </w:r>
      <w:r w:rsidR="00CB3EFD">
        <w:rPr>
          <w:lang w:val="en-US"/>
        </w:rPr>
        <w:t xml:space="preserve"> of </w:t>
      </w:r>
      <w:r w:rsidR="007F4793">
        <w:rPr>
          <w:lang w:val="en-US"/>
        </w:rPr>
        <w:t>practices”</w:t>
      </w:r>
      <w:r w:rsidR="00CB3EFD">
        <w:rPr>
          <w:lang w:val="en-US"/>
        </w:rPr>
        <w:t xml:space="preserve"> define a specific territory, then they can include or n</w:t>
      </w:r>
      <w:r w:rsidR="007F4793">
        <w:rPr>
          <w:lang w:val="en-US"/>
        </w:rPr>
        <w:t>ot certain requirements (origin</w:t>
      </w:r>
      <w:r w:rsidR="00CB3EFD">
        <w:rPr>
          <w:lang w:val="en-US"/>
        </w:rPr>
        <w:t xml:space="preserve"> of all production inputs, environmental factors, preservation of artisan techniques, etc.) and they can establish different tools of governance.</w:t>
      </w:r>
      <w:r w:rsidR="001C3B70">
        <w:rPr>
          <w:lang w:val="en-US"/>
        </w:rPr>
        <w:t xml:space="preserve"> </w:t>
      </w:r>
    </w:p>
    <w:p w14:paraId="5D108591" w14:textId="51008D06" w:rsidR="00F223BE" w:rsidRDefault="0095479F" w:rsidP="00B966E5">
      <w:pPr>
        <w:jc w:val="both"/>
        <w:rPr>
          <w:lang w:val="en-US"/>
        </w:rPr>
      </w:pPr>
      <w:r>
        <w:rPr>
          <w:lang w:val="en-US"/>
        </w:rPr>
        <w:t>In Europe,</w:t>
      </w:r>
      <w:r w:rsidR="007F4793">
        <w:rPr>
          <w:lang w:val="en-US"/>
        </w:rPr>
        <w:t xml:space="preserve"> a </w:t>
      </w:r>
      <w:r w:rsidR="00F223BE">
        <w:rPr>
          <w:lang w:val="en-US"/>
        </w:rPr>
        <w:t xml:space="preserve">distinction </w:t>
      </w:r>
      <w:r w:rsidR="00CE1876">
        <w:rPr>
          <w:lang w:val="en-US"/>
        </w:rPr>
        <w:t xml:space="preserve">is made </w:t>
      </w:r>
      <w:r w:rsidR="00F223BE">
        <w:rPr>
          <w:lang w:val="en-US"/>
        </w:rPr>
        <w:t xml:space="preserve">between </w:t>
      </w:r>
      <w:r w:rsidR="009261BB">
        <w:rPr>
          <w:lang w:val="en-US"/>
        </w:rPr>
        <w:t xml:space="preserve">Protected Denomination of Origin </w:t>
      </w:r>
      <w:r w:rsidR="00F223BE">
        <w:rPr>
          <w:lang w:val="en-US"/>
        </w:rPr>
        <w:t xml:space="preserve">- meaning that </w:t>
      </w:r>
      <w:r w:rsidR="00CE1876">
        <w:rPr>
          <w:lang w:val="en-US"/>
        </w:rPr>
        <w:t>all the inputs originate from</w:t>
      </w:r>
      <w:r w:rsidR="00F223BE">
        <w:rPr>
          <w:lang w:val="en-US"/>
        </w:rPr>
        <w:t xml:space="preserve"> a </w:t>
      </w:r>
      <w:r w:rsidR="00CE1876">
        <w:rPr>
          <w:lang w:val="en-US"/>
        </w:rPr>
        <w:t xml:space="preserve">specific </w:t>
      </w:r>
      <w:r w:rsidR="00F223BE">
        <w:rPr>
          <w:lang w:val="en-US"/>
        </w:rPr>
        <w:t>territory</w:t>
      </w:r>
      <w:r w:rsidR="009261BB">
        <w:rPr>
          <w:lang w:val="en-US"/>
        </w:rPr>
        <w:t xml:space="preserve"> </w:t>
      </w:r>
      <w:r w:rsidR="00F223BE">
        <w:rPr>
          <w:lang w:val="en-US"/>
        </w:rPr>
        <w:t xml:space="preserve">- and </w:t>
      </w:r>
      <w:r w:rsidR="009261BB">
        <w:rPr>
          <w:lang w:val="en-US"/>
        </w:rPr>
        <w:t>protected Geographical Indication-</w:t>
      </w:r>
      <w:r w:rsidR="00F223BE">
        <w:rPr>
          <w:lang w:val="en-US"/>
        </w:rPr>
        <w:t xml:space="preserve"> </w:t>
      </w:r>
      <w:r w:rsidR="009261BB">
        <w:rPr>
          <w:lang w:val="en-US"/>
        </w:rPr>
        <w:t>for which</w:t>
      </w:r>
      <w:r w:rsidR="00F223BE">
        <w:rPr>
          <w:lang w:val="en-US"/>
        </w:rPr>
        <w:t xml:space="preserve"> </w:t>
      </w:r>
      <w:r w:rsidR="00CE1876">
        <w:rPr>
          <w:lang w:val="en-US"/>
        </w:rPr>
        <w:t>eve</w:t>
      </w:r>
      <w:r w:rsidR="007F4793">
        <w:rPr>
          <w:lang w:val="en-US"/>
        </w:rPr>
        <w:t>n</w:t>
      </w:r>
      <w:r w:rsidR="00CE1876">
        <w:rPr>
          <w:lang w:val="en-US"/>
        </w:rPr>
        <w:t xml:space="preserve"> </w:t>
      </w:r>
      <w:r w:rsidR="00F223BE">
        <w:rPr>
          <w:lang w:val="en-US"/>
        </w:rPr>
        <w:t>only one characteristics or elemen</w:t>
      </w:r>
      <w:r w:rsidR="00CE1876">
        <w:rPr>
          <w:lang w:val="en-US"/>
        </w:rPr>
        <w:t>t or technique originating from</w:t>
      </w:r>
      <w:r w:rsidR="00F223BE">
        <w:rPr>
          <w:lang w:val="en-US"/>
        </w:rPr>
        <w:t xml:space="preserve"> a territory</w:t>
      </w:r>
      <w:r w:rsidR="009261BB">
        <w:rPr>
          <w:lang w:val="en-US"/>
        </w:rPr>
        <w:t xml:space="preserve"> is enough for obtaining the indication</w:t>
      </w:r>
      <w:r w:rsidR="00F223BE">
        <w:rPr>
          <w:lang w:val="en-US"/>
        </w:rPr>
        <w:t>.</w:t>
      </w:r>
    </w:p>
    <w:p w14:paraId="6CF83E17" w14:textId="7CB028B5" w:rsidR="004D355A" w:rsidRPr="009261BB" w:rsidRDefault="00CE1876" w:rsidP="00B966E5">
      <w:pPr>
        <w:jc w:val="both"/>
        <w:rPr>
          <w:lang w:val="en-US"/>
        </w:rPr>
      </w:pPr>
      <w:r>
        <w:rPr>
          <w:lang w:val="en-US"/>
        </w:rPr>
        <w:t xml:space="preserve">As a result </w:t>
      </w:r>
      <w:r w:rsidR="004B2714">
        <w:rPr>
          <w:lang w:val="en-US"/>
        </w:rPr>
        <w:t>G</w:t>
      </w:r>
      <w:r>
        <w:rPr>
          <w:lang w:val="en-US"/>
        </w:rPr>
        <w:t>I</w:t>
      </w:r>
      <w:r w:rsidR="004B2714">
        <w:rPr>
          <w:lang w:val="en-US"/>
        </w:rPr>
        <w:t>s</w:t>
      </w:r>
      <w:r>
        <w:rPr>
          <w:lang w:val="en-US"/>
        </w:rPr>
        <w:t>’</w:t>
      </w:r>
      <w:r w:rsidR="004B2714">
        <w:rPr>
          <w:lang w:val="en-US"/>
        </w:rPr>
        <w:t xml:space="preserve"> experiences </w:t>
      </w:r>
      <w:r w:rsidR="009261BB">
        <w:rPr>
          <w:lang w:val="en-US"/>
        </w:rPr>
        <w:t xml:space="preserve">can be </w:t>
      </w:r>
      <w:r w:rsidR="004B2714">
        <w:rPr>
          <w:lang w:val="en-US"/>
        </w:rPr>
        <w:t>quite different</w:t>
      </w:r>
      <w:r w:rsidR="009261BB">
        <w:rPr>
          <w:lang w:val="en-US"/>
        </w:rPr>
        <w:t>, in terms of their outcomes and</w:t>
      </w:r>
      <w:r w:rsidR="004B2714">
        <w:rPr>
          <w:lang w:val="en-US"/>
        </w:rPr>
        <w:t xml:space="preserve"> degrees of </w:t>
      </w:r>
      <w:r w:rsidR="009261BB">
        <w:rPr>
          <w:lang w:val="en-US"/>
        </w:rPr>
        <w:t>success.</w:t>
      </w:r>
    </w:p>
    <w:p w14:paraId="305FDD97" w14:textId="08D94AD0" w:rsidR="005B4F28" w:rsidRDefault="007A6968" w:rsidP="00B966E5">
      <w:pPr>
        <w:jc w:val="both"/>
        <w:rPr>
          <w:lang w:val="en-US"/>
        </w:rPr>
      </w:pPr>
      <w:r>
        <w:rPr>
          <w:lang w:val="en-US"/>
        </w:rPr>
        <w:t>Far from be</w:t>
      </w:r>
      <w:r w:rsidR="009E315D">
        <w:rPr>
          <w:lang w:val="en-US"/>
        </w:rPr>
        <w:t>ing only a marketing instrument</w:t>
      </w:r>
      <w:r w:rsidR="005B4F28">
        <w:rPr>
          <w:lang w:val="en-US"/>
        </w:rPr>
        <w:t>,</w:t>
      </w:r>
      <w:r w:rsidR="009E315D">
        <w:rPr>
          <w:lang w:val="en-US"/>
        </w:rPr>
        <w:t xml:space="preserve"> </w:t>
      </w:r>
      <w:r>
        <w:rPr>
          <w:lang w:val="en-US"/>
        </w:rPr>
        <w:t>G</w:t>
      </w:r>
      <w:r w:rsidR="009E315D">
        <w:rPr>
          <w:lang w:val="en-US"/>
        </w:rPr>
        <w:t>I</w:t>
      </w:r>
      <w:r>
        <w:rPr>
          <w:lang w:val="en-US"/>
        </w:rPr>
        <w:t>s have</w:t>
      </w:r>
      <w:r w:rsidR="005B4F28">
        <w:rPr>
          <w:lang w:val="en-US"/>
        </w:rPr>
        <w:t xml:space="preserve"> multiple aims which can be summarized as below:</w:t>
      </w:r>
    </w:p>
    <w:p w14:paraId="23B0FA4B" w14:textId="290AC98B" w:rsidR="00FD6EDC" w:rsidRDefault="005B4F28" w:rsidP="00B966E5">
      <w:pPr>
        <w:pStyle w:val="Paragraphedeliste"/>
        <w:numPr>
          <w:ilvl w:val="0"/>
          <w:numId w:val="11"/>
        </w:numPr>
        <w:jc w:val="both"/>
        <w:rPr>
          <w:lang w:val="en-US"/>
        </w:rPr>
      </w:pPr>
      <w:r>
        <w:rPr>
          <w:lang w:val="en-US"/>
        </w:rPr>
        <w:t xml:space="preserve">to increase the selling price of a product in </w:t>
      </w:r>
      <w:r w:rsidR="009261BB">
        <w:rPr>
          <w:lang w:val="en-US"/>
        </w:rPr>
        <w:t>a market of growing competition;</w:t>
      </w:r>
    </w:p>
    <w:p w14:paraId="30E022D0" w14:textId="095E13C8" w:rsidR="005B4F28" w:rsidRDefault="005B4F28" w:rsidP="00B966E5">
      <w:pPr>
        <w:pStyle w:val="Paragraphedeliste"/>
        <w:numPr>
          <w:ilvl w:val="0"/>
          <w:numId w:val="11"/>
        </w:numPr>
        <w:jc w:val="both"/>
        <w:rPr>
          <w:lang w:val="en-US"/>
        </w:rPr>
      </w:pPr>
      <w:r>
        <w:rPr>
          <w:lang w:val="en-US"/>
        </w:rPr>
        <w:t xml:space="preserve">to give a controlled information about origin to the consumer, at a time where value chains are less and less </w:t>
      </w:r>
      <w:r w:rsidR="00CE1876">
        <w:rPr>
          <w:lang w:val="en-US"/>
        </w:rPr>
        <w:t>traceable</w:t>
      </w:r>
      <w:r w:rsidR="009261BB">
        <w:rPr>
          <w:lang w:val="en-US"/>
        </w:rPr>
        <w:t>;</w:t>
      </w:r>
    </w:p>
    <w:p w14:paraId="36DC0766" w14:textId="6B434C7A" w:rsidR="005B4F28" w:rsidRDefault="009261BB" w:rsidP="00B966E5">
      <w:pPr>
        <w:pStyle w:val="Paragraphedeliste"/>
        <w:numPr>
          <w:ilvl w:val="0"/>
          <w:numId w:val="11"/>
        </w:numPr>
        <w:jc w:val="both"/>
        <w:rPr>
          <w:lang w:val="en-US"/>
        </w:rPr>
      </w:pPr>
      <w:r>
        <w:rPr>
          <w:lang w:val="en-US"/>
        </w:rPr>
        <w:t xml:space="preserve">to </w:t>
      </w:r>
      <w:r w:rsidR="005B4F28">
        <w:rPr>
          <w:lang w:val="en-US"/>
        </w:rPr>
        <w:t xml:space="preserve">escape commodification trap </w:t>
      </w:r>
      <w:r>
        <w:rPr>
          <w:lang w:val="en-US"/>
        </w:rPr>
        <w:t>;</w:t>
      </w:r>
    </w:p>
    <w:p w14:paraId="3CE6D68C" w14:textId="5B9974F6" w:rsidR="009261BB" w:rsidRDefault="009261BB" w:rsidP="00B966E5">
      <w:pPr>
        <w:pStyle w:val="Paragraphedeliste"/>
        <w:numPr>
          <w:ilvl w:val="0"/>
          <w:numId w:val="11"/>
        </w:numPr>
        <w:jc w:val="both"/>
        <w:rPr>
          <w:lang w:val="en-US"/>
        </w:rPr>
      </w:pPr>
      <w:r>
        <w:rPr>
          <w:lang w:val="en-US"/>
        </w:rPr>
        <w:t xml:space="preserve">to </w:t>
      </w:r>
      <w:r w:rsidR="005B4F28">
        <w:rPr>
          <w:lang w:val="en-US"/>
        </w:rPr>
        <w:t>promote local and rural development by boosting collectiv</w:t>
      </w:r>
      <w:r>
        <w:rPr>
          <w:lang w:val="en-US"/>
        </w:rPr>
        <w:t>e dynamics directed to</w:t>
      </w:r>
      <w:r w:rsidR="005B4F28">
        <w:rPr>
          <w:lang w:val="en-US"/>
        </w:rPr>
        <w:t xml:space="preserve"> produce high economic value</w:t>
      </w:r>
      <w:r>
        <w:rPr>
          <w:lang w:val="en-US"/>
        </w:rPr>
        <w:t>.</w:t>
      </w:r>
    </w:p>
    <w:p w14:paraId="584CB786" w14:textId="77777777" w:rsidR="00B966E5" w:rsidRDefault="00B966E5" w:rsidP="00B966E5">
      <w:pPr>
        <w:pStyle w:val="Paragraphedeliste"/>
        <w:ind w:left="817"/>
        <w:jc w:val="both"/>
        <w:rPr>
          <w:lang w:val="en-US"/>
        </w:rPr>
      </w:pPr>
    </w:p>
    <w:p w14:paraId="38CA031D" w14:textId="77777777" w:rsidR="0095479F" w:rsidRDefault="0095479F" w:rsidP="0095479F">
      <w:pPr>
        <w:spacing w:after="0" w:line="264" w:lineRule="auto"/>
        <w:jc w:val="both"/>
        <w:rPr>
          <w:rFonts w:ascii="Arial" w:hAnsi="Arial" w:cs="Arial"/>
          <w:color w:val="0070C0"/>
          <w:lang w:val="en-GB"/>
        </w:rPr>
      </w:pPr>
    </w:p>
    <w:p w14:paraId="1839DF1F" w14:textId="7C36AA86" w:rsidR="00BC509E" w:rsidRDefault="0095479F" w:rsidP="0095479F">
      <w:pPr>
        <w:spacing w:after="0" w:line="264" w:lineRule="auto"/>
        <w:jc w:val="both"/>
        <w:rPr>
          <w:rFonts w:ascii="Arial" w:hAnsi="Arial" w:cs="Arial"/>
          <w:color w:val="0070C0"/>
          <w:lang w:val="en-GB"/>
        </w:rPr>
      </w:pPr>
      <w:r>
        <w:rPr>
          <w:rFonts w:ascii="Arial" w:hAnsi="Arial" w:cs="Arial"/>
          <w:color w:val="0070C0"/>
          <w:lang w:val="en-GB"/>
        </w:rPr>
        <w:t xml:space="preserve">Activities </w:t>
      </w:r>
    </w:p>
    <w:p w14:paraId="5838C69F" w14:textId="1528A9FD" w:rsidR="0032077E" w:rsidRDefault="0032077E" w:rsidP="0095479F">
      <w:pPr>
        <w:spacing w:after="0" w:line="264" w:lineRule="auto"/>
        <w:jc w:val="both"/>
        <w:rPr>
          <w:rFonts w:ascii="Arial" w:hAnsi="Arial" w:cs="Arial"/>
          <w:color w:val="0070C0"/>
          <w:lang w:val="en-GB"/>
        </w:rPr>
      </w:pPr>
    </w:p>
    <w:p w14:paraId="1F93840B" w14:textId="297EC24D" w:rsidR="0032077E" w:rsidRPr="0032077E" w:rsidRDefault="0032077E" w:rsidP="0032077E">
      <w:pPr>
        <w:jc w:val="both"/>
        <w:rPr>
          <w:lang w:val="en-US"/>
        </w:rPr>
      </w:pPr>
      <w:r w:rsidRPr="0032077E">
        <w:rPr>
          <w:lang w:val="en-US"/>
        </w:rPr>
        <w:t xml:space="preserve">Beyond local </w:t>
      </w:r>
      <w:r>
        <w:rPr>
          <w:lang w:val="en-US"/>
        </w:rPr>
        <w:t>specificities</w:t>
      </w:r>
      <w:r w:rsidRPr="0032077E">
        <w:rPr>
          <w:lang w:val="en-US"/>
        </w:rPr>
        <w:t xml:space="preserve">, </w:t>
      </w:r>
      <w:r>
        <w:rPr>
          <w:lang w:val="en-US"/>
        </w:rPr>
        <w:t>Geographical</w:t>
      </w:r>
      <w:r w:rsidRPr="0032077E">
        <w:rPr>
          <w:lang w:val="en-US"/>
        </w:rPr>
        <w:t xml:space="preserve"> </w:t>
      </w:r>
      <w:r>
        <w:rPr>
          <w:lang w:val="en-US"/>
        </w:rPr>
        <w:t xml:space="preserve">Indications </w:t>
      </w:r>
      <w:r w:rsidR="009051DE">
        <w:rPr>
          <w:lang w:val="en-US"/>
        </w:rPr>
        <w:t xml:space="preserve">(GIs) </w:t>
      </w:r>
      <w:r>
        <w:rPr>
          <w:lang w:val="en-US"/>
        </w:rPr>
        <w:t>form</w:t>
      </w:r>
      <w:r w:rsidRPr="0032077E">
        <w:rPr>
          <w:lang w:val="en-US"/>
        </w:rPr>
        <w:t xml:space="preserve"> a more global reference framework with shared principles.</w:t>
      </w:r>
    </w:p>
    <w:p w14:paraId="793D5C61" w14:textId="4C19AE2C" w:rsidR="0032077E" w:rsidRPr="0032077E" w:rsidRDefault="0032077E" w:rsidP="0032077E">
      <w:pPr>
        <w:jc w:val="both"/>
        <w:rPr>
          <w:lang w:val="en-US"/>
        </w:rPr>
      </w:pPr>
      <w:r>
        <w:rPr>
          <w:lang w:val="en-US"/>
        </w:rPr>
        <w:t>At the origin of a</w:t>
      </w:r>
      <w:r w:rsidRPr="0032077E">
        <w:rPr>
          <w:lang w:val="en-US"/>
        </w:rPr>
        <w:t xml:space="preserve"> </w:t>
      </w:r>
      <w:r>
        <w:rPr>
          <w:lang w:val="en-US"/>
        </w:rPr>
        <w:t>G</w:t>
      </w:r>
      <w:r w:rsidRPr="0032077E">
        <w:rPr>
          <w:lang w:val="en-US"/>
        </w:rPr>
        <w:t xml:space="preserve">eographical </w:t>
      </w:r>
      <w:r>
        <w:rPr>
          <w:lang w:val="en-US"/>
        </w:rPr>
        <w:t>I</w:t>
      </w:r>
      <w:r w:rsidRPr="0032077E">
        <w:rPr>
          <w:lang w:val="en-US"/>
        </w:rPr>
        <w:t xml:space="preserve">ndication, there is often a collective will of local producers and other economic operators of a chain </w:t>
      </w:r>
      <w:r w:rsidR="009051DE">
        <w:rPr>
          <w:lang w:val="en-US"/>
        </w:rPr>
        <w:t xml:space="preserve">on a territory </w:t>
      </w:r>
      <w:r w:rsidRPr="0032077E">
        <w:rPr>
          <w:lang w:val="en-US"/>
        </w:rPr>
        <w:t xml:space="preserve">(processors, vendors ...) to come together around a </w:t>
      </w:r>
      <w:r>
        <w:rPr>
          <w:lang w:val="en-US"/>
        </w:rPr>
        <w:t xml:space="preserve">joint </w:t>
      </w:r>
      <w:r w:rsidRPr="0032077E">
        <w:rPr>
          <w:lang w:val="en-US"/>
        </w:rPr>
        <w:t xml:space="preserve">project and common goals. This collective and voluntary approach is thus an opportunity to structure and revitalize the sector through the convergence of individual strategies and cooperation within </w:t>
      </w:r>
      <w:r w:rsidR="009051DE">
        <w:rPr>
          <w:lang w:val="en-US"/>
        </w:rPr>
        <w:t>the</w:t>
      </w:r>
      <w:r w:rsidRPr="0032077E">
        <w:rPr>
          <w:lang w:val="en-US"/>
        </w:rPr>
        <w:t xml:space="preserve"> territory.</w:t>
      </w:r>
    </w:p>
    <w:p w14:paraId="420DF2E5" w14:textId="31A2811B" w:rsidR="0032077E" w:rsidRPr="0032077E" w:rsidRDefault="0032077E" w:rsidP="0032077E">
      <w:pPr>
        <w:jc w:val="both"/>
        <w:rPr>
          <w:lang w:val="en-US"/>
        </w:rPr>
      </w:pPr>
      <w:r w:rsidRPr="0032077E">
        <w:rPr>
          <w:lang w:val="en-US"/>
        </w:rPr>
        <w:t>T</w:t>
      </w:r>
      <w:r>
        <w:rPr>
          <w:lang w:val="en-US"/>
        </w:rPr>
        <w:t>he Geographical Indication’s standard constitutes both a t</w:t>
      </w:r>
      <w:r w:rsidRPr="0032077E">
        <w:rPr>
          <w:lang w:val="en-US"/>
        </w:rPr>
        <w:t xml:space="preserve">ool of dialogue and negotiation between </w:t>
      </w:r>
      <w:r>
        <w:rPr>
          <w:lang w:val="en-US"/>
        </w:rPr>
        <w:t>the stakeholders involved</w:t>
      </w:r>
      <w:r w:rsidRPr="0032077E">
        <w:rPr>
          <w:lang w:val="en-US"/>
        </w:rPr>
        <w:t xml:space="preserve">, </w:t>
      </w:r>
      <w:r>
        <w:rPr>
          <w:lang w:val="en-US"/>
        </w:rPr>
        <w:t>and</w:t>
      </w:r>
      <w:r w:rsidRPr="0032077E">
        <w:rPr>
          <w:lang w:val="en-US"/>
        </w:rPr>
        <w:t xml:space="preserve"> the c</w:t>
      </w:r>
      <w:r>
        <w:rPr>
          <w:lang w:val="en-US"/>
        </w:rPr>
        <w:t xml:space="preserve">ornerstone of collective action; </w:t>
      </w:r>
      <w:r w:rsidRPr="0032077E">
        <w:rPr>
          <w:lang w:val="en-US"/>
        </w:rPr>
        <w:t xml:space="preserve">its realization is essential to </w:t>
      </w:r>
      <w:r>
        <w:rPr>
          <w:lang w:val="en-US"/>
        </w:rPr>
        <w:t>support</w:t>
      </w:r>
      <w:r w:rsidRPr="0032077E">
        <w:rPr>
          <w:lang w:val="en-US"/>
        </w:rPr>
        <w:t xml:space="preserve"> the process and ensure its sustainability.</w:t>
      </w:r>
    </w:p>
    <w:p w14:paraId="2C2C0632" w14:textId="1E31B658" w:rsidR="0032077E" w:rsidRPr="0032077E" w:rsidRDefault="0032077E" w:rsidP="0032077E">
      <w:pPr>
        <w:jc w:val="both"/>
        <w:rPr>
          <w:lang w:val="en-US"/>
        </w:rPr>
      </w:pPr>
      <w:r w:rsidRPr="0032077E">
        <w:rPr>
          <w:lang w:val="en-US"/>
        </w:rPr>
        <w:t xml:space="preserve">The platform </w:t>
      </w:r>
      <w:r w:rsidR="009051DE">
        <w:rPr>
          <w:lang w:val="en-US"/>
        </w:rPr>
        <w:t>of</w:t>
      </w:r>
      <w:r w:rsidRPr="0032077E">
        <w:rPr>
          <w:lang w:val="en-US"/>
        </w:rPr>
        <w:t xml:space="preserve"> producers and other local actors, </w:t>
      </w:r>
      <w:r w:rsidR="009051DE">
        <w:rPr>
          <w:lang w:val="en-US"/>
        </w:rPr>
        <w:t>which guarantees</w:t>
      </w:r>
      <w:r w:rsidRPr="0032077E">
        <w:rPr>
          <w:lang w:val="en-US"/>
        </w:rPr>
        <w:t xml:space="preserve"> </w:t>
      </w:r>
      <w:r w:rsidR="009051DE">
        <w:rPr>
          <w:lang w:val="en-US"/>
        </w:rPr>
        <w:t xml:space="preserve">the </w:t>
      </w:r>
      <w:r w:rsidRPr="0032077E">
        <w:rPr>
          <w:lang w:val="en-US"/>
        </w:rPr>
        <w:t>respect of the specifications and rules of governance, bec</w:t>
      </w:r>
      <w:r w:rsidR="009051DE">
        <w:rPr>
          <w:lang w:val="en-US"/>
        </w:rPr>
        <w:t>omes</w:t>
      </w:r>
      <w:r w:rsidRPr="0032077E">
        <w:rPr>
          <w:lang w:val="en-US"/>
        </w:rPr>
        <w:t xml:space="preserve"> the main interlocutor of the authorities at national level.</w:t>
      </w:r>
    </w:p>
    <w:p w14:paraId="540E1BC9" w14:textId="6614978B" w:rsidR="0032077E" w:rsidRPr="0032077E" w:rsidRDefault="0032077E" w:rsidP="0032077E">
      <w:pPr>
        <w:jc w:val="both"/>
        <w:rPr>
          <w:lang w:val="en-US"/>
        </w:rPr>
      </w:pPr>
      <w:r w:rsidRPr="0032077E">
        <w:rPr>
          <w:lang w:val="en-US"/>
        </w:rPr>
        <w:t>This model is now strongly promoted by the European Union and is one of the</w:t>
      </w:r>
      <w:r w:rsidR="009051DE">
        <w:rPr>
          <w:lang w:val="en-US"/>
        </w:rPr>
        <w:t xml:space="preserve"> much debated</w:t>
      </w:r>
      <w:r w:rsidRPr="0032077E">
        <w:rPr>
          <w:lang w:val="en-US"/>
        </w:rPr>
        <w:t xml:space="preserve"> issues in the negotiations on the </w:t>
      </w:r>
      <w:r w:rsidR="009051DE" w:rsidRPr="009051DE">
        <w:rPr>
          <w:lang w:val="en-US"/>
        </w:rPr>
        <w:t>Transatlantic Trade and Investment Partnership (TTIP)</w:t>
      </w:r>
      <w:r w:rsidR="009051DE">
        <w:rPr>
          <w:lang w:val="en-US"/>
        </w:rPr>
        <w:t xml:space="preserve"> </w:t>
      </w:r>
      <w:r w:rsidRPr="0032077E">
        <w:rPr>
          <w:lang w:val="en-US"/>
        </w:rPr>
        <w:t>between Europe and the United States.</w:t>
      </w:r>
    </w:p>
    <w:p w14:paraId="21460D44" w14:textId="3034C40D" w:rsidR="00BC509E" w:rsidRDefault="00BC509E" w:rsidP="0095479F">
      <w:pPr>
        <w:spacing w:after="0" w:line="264" w:lineRule="auto"/>
        <w:jc w:val="both"/>
        <w:rPr>
          <w:rFonts w:ascii="Arial" w:hAnsi="Arial" w:cs="Arial"/>
          <w:color w:val="0070C0"/>
          <w:lang w:val="en-GB"/>
        </w:rPr>
      </w:pPr>
    </w:p>
    <w:p w14:paraId="73520521" w14:textId="2C9BBE19" w:rsidR="009051DE" w:rsidRDefault="009051DE" w:rsidP="0095479F">
      <w:pPr>
        <w:spacing w:after="0" w:line="264" w:lineRule="auto"/>
        <w:jc w:val="both"/>
        <w:rPr>
          <w:rFonts w:ascii="Arial" w:hAnsi="Arial" w:cs="Arial"/>
          <w:color w:val="0070C0"/>
          <w:lang w:val="en-GB"/>
        </w:rPr>
      </w:pPr>
    </w:p>
    <w:p w14:paraId="6DD88957" w14:textId="2719BAA7" w:rsidR="009051DE" w:rsidRDefault="009051DE" w:rsidP="0095479F">
      <w:pPr>
        <w:spacing w:after="0" w:line="264" w:lineRule="auto"/>
        <w:jc w:val="both"/>
        <w:rPr>
          <w:rFonts w:ascii="Arial" w:hAnsi="Arial" w:cs="Arial"/>
          <w:color w:val="0070C0"/>
          <w:lang w:val="en-GB"/>
        </w:rPr>
      </w:pPr>
    </w:p>
    <w:p w14:paraId="211A6FD0" w14:textId="77777777" w:rsidR="009051DE" w:rsidRDefault="009051DE" w:rsidP="0095479F">
      <w:pPr>
        <w:spacing w:after="0" w:line="264" w:lineRule="auto"/>
        <w:jc w:val="both"/>
        <w:rPr>
          <w:rFonts w:ascii="Arial" w:hAnsi="Arial" w:cs="Arial"/>
          <w:color w:val="0070C0"/>
          <w:lang w:val="en-GB"/>
        </w:rPr>
      </w:pPr>
    </w:p>
    <w:p w14:paraId="2D536F28" w14:textId="781D2752" w:rsidR="0095479F" w:rsidRPr="00BD4CC2" w:rsidRDefault="00BC509E" w:rsidP="0095479F">
      <w:pPr>
        <w:spacing w:after="0" w:line="264" w:lineRule="auto"/>
        <w:jc w:val="both"/>
        <w:rPr>
          <w:rFonts w:ascii="Arial" w:hAnsi="Arial" w:cs="Arial"/>
          <w:color w:val="0070C0"/>
          <w:lang w:val="en-GB"/>
        </w:rPr>
      </w:pPr>
      <w:r>
        <w:rPr>
          <w:rFonts w:ascii="Arial" w:hAnsi="Arial" w:cs="Arial"/>
          <w:color w:val="0070C0"/>
          <w:lang w:val="en-GB"/>
        </w:rPr>
        <w:t>R</w:t>
      </w:r>
      <w:r w:rsidR="0095479F">
        <w:rPr>
          <w:rFonts w:ascii="Arial" w:hAnsi="Arial" w:cs="Arial"/>
          <w:color w:val="0070C0"/>
          <w:lang w:val="en-GB"/>
        </w:rPr>
        <w:t>esults</w:t>
      </w:r>
    </w:p>
    <w:p w14:paraId="02FC8622" w14:textId="77777777" w:rsidR="0032077E" w:rsidRDefault="0032077E" w:rsidP="0032077E">
      <w:pPr>
        <w:spacing w:after="0" w:line="264" w:lineRule="auto"/>
        <w:jc w:val="both"/>
        <w:rPr>
          <w:rFonts w:ascii="Arial" w:hAnsi="Arial" w:cs="Arial"/>
          <w:color w:val="0070C0"/>
          <w:lang w:val="en-GB"/>
        </w:rPr>
      </w:pPr>
    </w:p>
    <w:p w14:paraId="2CB26E4A" w14:textId="77777777" w:rsidR="0032077E" w:rsidRDefault="0032077E" w:rsidP="0032077E">
      <w:pPr>
        <w:jc w:val="both"/>
        <w:rPr>
          <w:lang w:val="en-US"/>
        </w:rPr>
      </w:pPr>
      <w:r>
        <w:rPr>
          <w:lang w:val="en-US"/>
        </w:rPr>
        <w:t xml:space="preserve">FAO studied a panel of GI experiences around the world, trying to single out what are the major factors of success. The study found, first of all, that there are three basic preconditions, without which a GI will certainly be doomed to not survive in the market: </w:t>
      </w:r>
    </w:p>
    <w:p w14:paraId="543DDF9B" w14:textId="77777777" w:rsidR="0032077E" w:rsidRPr="00293371" w:rsidRDefault="0032077E" w:rsidP="0032077E">
      <w:pPr>
        <w:pStyle w:val="Paragraphedeliste"/>
        <w:numPr>
          <w:ilvl w:val="0"/>
          <w:numId w:val="4"/>
        </w:numPr>
        <w:autoSpaceDE w:val="0"/>
        <w:autoSpaceDN w:val="0"/>
        <w:adjustRightInd w:val="0"/>
        <w:spacing w:after="0" w:line="240" w:lineRule="auto"/>
        <w:jc w:val="both"/>
        <w:rPr>
          <w:lang w:val="en-US"/>
        </w:rPr>
      </w:pPr>
      <w:r w:rsidRPr="00293371">
        <w:rPr>
          <w:lang w:val="en-US"/>
        </w:rPr>
        <w:t>The product must be unique and specific.</w:t>
      </w:r>
    </w:p>
    <w:p w14:paraId="64B81C2A" w14:textId="77777777" w:rsidR="0032077E" w:rsidRPr="00293371" w:rsidRDefault="0032077E" w:rsidP="0032077E">
      <w:pPr>
        <w:pStyle w:val="Paragraphedeliste"/>
        <w:numPr>
          <w:ilvl w:val="0"/>
          <w:numId w:val="4"/>
        </w:numPr>
        <w:autoSpaceDE w:val="0"/>
        <w:autoSpaceDN w:val="0"/>
        <w:adjustRightInd w:val="0"/>
        <w:spacing w:after="0" w:line="240" w:lineRule="auto"/>
        <w:jc w:val="both"/>
        <w:rPr>
          <w:lang w:val="en-US"/>
        </w:rPr>
      </w:pPr>
      <w:r w:rsidRPr="00293371">
        <w:rPr>
          <w:lang w:val="en-US"/>
        </w:rPr>
        <w:t>The actors must hold a clear consensus on the functioning of the</w:t>
      </w:r>
      <w:r>
        <w:rPr>
          <w:lang w:val="en-US"/>
        </w:rPr>
        <w:t xml:space="preserve"> GI</w:t>
      </w:r>
      <w:r w:rsidRPr="00293371">
        <w:rPr>
          <w:lang w:val="en-US"/>
        </w:rPr>
        <w:t xml:space="preserve"> mechanism.</w:t>
      </w:r>
    </w:p>
    <w:p w14:paraId="061D75D1" w14:textId="77777777" w:rsidR="0032077E" w:rsidRDefault="0032077E" w:rsidP="0032077E">
      <w:pPr>
        <w:pStyle w:val="Paragraphedeliste"/>
        <w:numPr>
          <w:ilvl w:val="0"/>
          <w:numId w:val="4"/>
        </w:numPr>
        <w:autoSpaceDE w:val="0"/>
        <w:autoSpaceDN w:val="0"/>
        <w:adjustRightInd w:val="0"/>
        <w:spacing w:after="0" w:line="240" w:lineRule="auto"/>
        <w:jc w:val="both"/>
        <w:rPr>
          <w:rFonts w:ascii="ArrusBT" w:hAnsi="ArrusBT" w:cs="ArrusBT"/>
          <w:sz w:val="20"/>
          <w:szCs w:val="20"/>
          <w:lang w:val="en-US"/>
        </w:rPr>
      </w:pPr>
      <w:r w:rsidRPr="00293371">
        <w:rPr>
          <w:lang w:val="en-US"/>
        </w:rPr>
        <w:t>The actors must make sure that there is a market (internal or external) for their products</w:t>
      </w:r>
      <w:r>
        <w:rPr>
          <w:rFonts w:ascii="ArrusBT" w:hAnsi="ArrusBT" w:cs="ArrusBT"/>
          <w:sz w:val="20"/>
          <w:szCs w:val="20"/>
          <w:lang w:val="en-US"/>
        </w:rPr>
        <w:t>.</w:t>
      </w:r>
    </w:p>
    <w:p w14:paraId="333D7E63" w14:textId="77777777" w:rsidR="0032077E" w:rsidRDefault="0032077E" w:rsidP="009051DE">
      <w:pPr>
        <w:spacing w:after="0"/>
        <w:jc w:val="both"/>
        <w:rPr>
          <w:lang w:val="en-US"/>
        </w:rPr>
      </w:pPr>
    </w:p>
    <w:p w14:paraId="59265CED" w14:textId="77777777" w:rsidR="0032077E" w:rsidRDefault="0032077E" w:rsidP="0032077E">
      <w:pPr>
        <w:jc w:val="both"/>
        <w:rPr>
          <w:lang w:val="en-US"/>
        </w:rPr>
      </w:pPr>
      <w:r>
        <w:rPr>
          <w:lang w:val="en-US"/>
        </w:rPr>
        <w:t>Several other factors, in addition, are likely to make a GI successful in increasing the equity and the sustainability of the value chain. Among these factors we want to single out the importance of establishing participatory mechanisms of governance of the GI value chain and effective multi stakeholders’ interactions.</w:t>
      </w:r>
    </w:p>
    <w:p w14:paraId="77CCCFB1" w14:textId="67FC24F8" w:rsidR="0032077E" w:rsidRDefault="0032077E" w:rsidP="0032077E">
      <w:pPr>
        <w:jc w:val="both"/>
        <w:rPr>
          <w:lang w:val="en-US"/>
        </w:rPr>
      </w:pPr>
      <w:r>
        <w:rPr>
          <w:lang w:val="en-US"/>
        </w:rPr>
        <w:t>I</w:t>
      </w:r>
      <w:r w:rsidRPr="0052281E">
        <w:rPr>
          <w:lang w:val="en-US"/>
        </w:rPr>
        <w:t>n certain condi</w:t>
      </w:r>
      <w:r w:rsidR="00267341">
        <w:rPr>
          <w:lang w:val="en-US"/>
        </w:rPr>
        <w:t>tions and with certain caveats GI</w:t>
      </w:r>
      <w:r w:rsidRPr="0052281E">
        <w:rPr>
          <w:lang w:val="en-US"/>
        </w:rPr>
        <w:t>s can deliver high benefits</w:t>
      </w:r>
      <w:r>
        <w:rPr>
          <w:lang w:val="en-US"/>
        </w:rPr>
        <w:t xml:space="preserve">, in terms of a more equitable distribution of wealth in the value chain and a sensible reduction of social costs and possibly positive externalities. </w:t>
      </w:r>
    </w:p>
    <w:p w14:paraId="63FC5241" w14:textId="33AF8596" w:rsidR="0095479F" w:rsidRDefault="0095479F" w:rsidP="0095479F">
      <w:pPr>
        <w:spacing w:line="276" w:lineRule="auto"/>
        <w:jc w:val="both"/>
        <w:rPr>
          <w:lang w:val="en-US"/>
        </w:rPr>
      </w:pPr>
      <w:r>
        <w:rPr>
          <w:lang w:val="en-US"/>
        </w:rPr>
        <w:t>An emblematic example of such value chain is the one of the French geographical indication Comté, designating a cheese originating from the Alpine region of Franche-Comté. This value chain has long historical roots and it was institutionalized through a geographical Indication after the II WW through the private initiative of the value chains actors. Through the years these actors developed and improved their governance mechanism, gaining relevant advantages comparing to more conventional value chains.</w:t>
      </w:r>
    </w:p>
    <w:p w14:paraId="61EC7216" w14:textId="77777777" w:rsidR="0095479F" w:rsidRPr="00B4538C" w:rsidRDefault="0095479F" w:rsidP="0095479F">
      <w:pPr>
        <w:spacing w:line="276" w:lineRule="auto"/>
        <w:jc w:val="both"/>
        <w:rPr>
          <w:lang w:val="en-US"/>
        </w:rPr>
      </w:pPr>
      <w:r>
        <w:rPr>
          <w:lang w:val="en-US"/>
        </w:rPr>
        <w:t>A study of 2003 by the French Ministry of agriculture, proposes a comparative impact analysis on the period from 1993 to 2003 between the value chain of Comté and the one of Emmental, a cheese originating from the same region and of initial very similar characteristics, but that developed through the years within an industrial value chain</w:t>
      </w:r>
      <w:r>
        <w:rPr>
          <w:rStyle w:val="Appelnotedebasdep"/>
          <w:lang w:val="en-US"/>
        </w:rPr>
        <w:footnoteReference w:id="1"/>
      </w:r>
      <w:r>
        <w:rPr>
          <w:lang w:val="en-US"/>
        </w:rPr>
        <w:t>. Here below we can see how t</w:t>
      </w:r>
      <w:r w:rsidRPr="00B4538C">
        <w:rPr>
          <w:lang w:val="en-US"/>
        </w:rPr>
        <w:t>h</w:t>
      </w:r>
      <w:r>
        <w:rPr>
          <w:lang w:val="en-US"/>
        </w:rPr>
        <w:t xml:space="preserve">e two different </w:t>
      </w:r>
      <w:r w:rsidRPr="00B4538C">
        <w:rPr>
          <w:lang w:val="en-US"/>
        </w:rPr>
        <w:t>v</w:t>
      </w:r>
      <w:r>
        <w:rPr>
          <w:lang w:val="en-US"/>
        </w:rPr>
        <w:t>a</w:t>
      </w:r>
      <w:r w:rsidRPr="00B4538C">
        <w:rPr>
          <w:lang w:val="en-US"/>
        </w:rPr>
        <w:t xml:space="preserve">lue chains </w:t>
      </w:r>
      <w:r>
        <w:rPr>
          <w:lang w:val="en-US"/>
        </w:rPr>
        <w:t xml:space="preserve">generate significantly differ impacts over the actors of the value chain and their territory of origin.  </w:t>
      </w:r>
    </w:p>
    <w:p w14:paraId="46E1941A" w14:textId="77777777" w:rsidR="0095479F" w:rsidRPr="00C27454" w:rsidRDefault="0095479F" w:rsidP="0095479F">
      <w:pPr>
        <w:pStyle w:val="Paragraphedeliste"/>
        <w:numPr>
          <w:ilvl w:val="0"/>
          <w:numId w:val="2"/>
        </w:numPr>
        <w:spacing w:line="276" w:lineRule="auto"/>
        <w:jc w:val="both"/>
        <w:rPr>
          <w:lang w:val="en-US"/>
        </w:rPr>
      </w:pPr>
      <w:r w:rsidRPr="00EF4DA3">
        <w:rPr>
          <w:lang w:val="en-US"/>
        </w:rPr>
        <w:t>For</w:t>
      </w:r>
      <w:r>
        <w:rPr>
          <w:lang w:val="en-US"/>
        </w:rPr>
        <w:t xml:space="preserve"> milk producers</w:t>
      </w:r>
      <w:r w:rsidRPr="00EF4DA3">
        <w:rPr>
          <w:lang w:val="en-US"/>
        </w:rPr>
        <w:t xml:space="preserve">: </w:t>
      </w:r>
      <w:r w:rsidRPr="009E315D">
        <w:rPr>
          <w:lang w:val="en-US"/>
        </w:rPr>
        <w:t xml:space="preserve">Comté </w:t>
      </w:r>
      <w:r>
        <w:rPr>
          <w:lang w:val="en-US"/>
        </w:rPr>
        <w:t>is positioned in a</w:t>
      </w:r>
      <w:r w:rsidRPr="009E315D">
        <w:rPr>
          <w:lang w:val="en-US"/>
        </w:rPr>
        <w:t xml:space="preserve"> market </w:t>
      </w:r>
      <w:r>
        <w:rPr>
          <w:lang w:val="en-US"/>
        </w:rPr>
        <w:t>of high value and therefore its price has increased in time (in 2003 it was 46% higher than Emmental’s one). This increased value, trickles down the value chain and reaches the milk producers- who sell their product at a price 14% higher than French average- and the intermediaries cheese transformers, who sell their “white cheese” at a 24% higher price than Emmental’s ones</w:t>
      </w:r>
      <w:r>
        <w:rPr>
          <w:rStyle w:val="Appelnotedebasdep"/>
          <w:lang w:val="en-US"/>
        </w:rPr>
        <w:footnoteReference w:id="2"/>
      </w:r>
      <w:r>
        <w:rPr>
          <w:lang w:val="en-US"/>
        </w:rPr>
        <w:t xml:space="preserve">. </w:t>
      </w:r>
    </w:p>
    <w:p w14:paraId="56FB88AE" w14:textId="77777777" w:rsidR="0095479F" w:rsidRDefault="0095479F" w:rsidP="0095479F">
      <w:pPr>
        <w:pStyle w:val="Paragraphedeliste"/>
        <w:numPr>
          <w:ilvl w:val="0"/>
          <w:numId w:val="2"/>
        </w:numPr>
        <w:spacing w:line="276" w:lineRule="auto"/>
        <w:jc w:val="both"/>
        <w:rPr>
          <w:lang w:val="en-US"/>
        </w:rPr>
      </w:pPr>
      <w:r>
        <w:rPr>
          <w:lang w:val="en-US"/>
        </w:rPr>
        <w:t>For final cheese producers: thanks to a strong communication about origin and the establishment of a direct link with the consumers, Comté cheese producers are stronger in negotiation with retailers. During the period considered, retailers captured only 50% of Comté’s increased price, while it captured 100% of Emmental one</w:t>
      </w:r>
      <w:r>
        <w:rPr>
          <w:rStyle w:val="Appelnotedebasdep"/>
          <w:lang w:val="en-US"/>
        </w:rPr>
        <w:footnoteReference w:id="3"/>
      </w:r>
      <w:r>
        <w:rPr>
          <w:lang w:val="en-US"/>
        </w:rPr>
        <w:t xml:space="preserve">. </w:t>
      </w:r>
    </w:p>
    <w:p w14:paraId="0AB74FE2" w14:textId="77777777" w:rsidR="0095479F" w:rsidRPr="00C27454" w:rsidRDefault="0095479F" w:rsidP="0095479F">
      <w:pPr>
        <w:pStyle w:val="Paragraphedeliste"/>
        <w:numPr>
          <w:ilvl w:val="0"/>
          <w:numId w:val="2"/>
        </w:numPr>
        <w:spacing w:line="276" w:lineRule="auto"/>
        <w:jc w:val="both"/>
        <w:rPr>
          <w:lang w:val="en-US"/>
        </w:rPr>
      </w:pPr>
      <w:r w:rsidRPr="005231B1">
        <w:rPr>
          <w:lang w:val="en-US"/>
        </w:rPr>
        <w:t>For consumers:</w:t>
      </w:r>
      <w:r>
        <w:rPr>
          <w:lang w:val="en-US"/>
        </w:rPr>
        <w:t xml:space="preserve"> thanks to a specific code of practices, consumers have a product of high nutritional and organoleptic quality</w:t>
      </w:r>
      <w:r>
        <w:rPr>
          <w:rStyle w:val="Appelnotedebasdep"/>
          <w:lang w:val="en-US"/>
        </w:rPr>
        <w:footnoteReference w:id="4"/>
      </w:r>
      <w:r>
        <w:rPr>
          <w:lang w:val="en-US"/>
        </w:rPr>
        <w:t xml:space="preserve">. </w:t>
      </w:r>
      <w:r w:rsidRPr="00C27454">
        <w:rPr>
          <w:lang w:val="en-US"/>
        </w:rPr>
        <w:t xml:space="preserve"> </w:t>
      </w:r>
    </w:p>
    <w:p w14:paraId="35804E52" w14:textId="77777777" w:rsidR="0095479F" w:rsidRDefault="0095479F" w:rsidP="0095479F">
      <w:pPr>
        <w:pStyle w:val="Paragraphedeliste"/>
        <w:numPr>
          <w:ilvl w:val="0"/>
          <w:numId w:val="2"/>
        </w:numPr>
        <w:spacing w:line="276" w:lineRule="auto"/>
        <w:jc w:val="both"/>
        <w:rPr>
          <w:lang w:val="en-US"/>
        </w:rPr>
      </w:pPr>
      <w:r>
        <w:rPr>
          <w:lang w:val="en-US"/>
        </w:rPr>
        <w:t>For the region of Franche-Comté:</w:t>
      </w:r>
    </w:p>
    <w:p w14:paraId="164962A1" w14:textId="08F70563" w:rsidR="0095479F" w:rsidRDefault="0095479F" w:rsidP="0095479F">
      <w:pPr>
        <w:pStyle w:val="Paragraphedeliste"/>
        <w:numPr>
          <w:ilvl w:val="1"/>
          <w:numId w:val="2"/>
        </w:numPr>
        <w:spacing w:line="276" w:lineRule="auto"/>
        <w:jc w:val="both"/>
        <w:rPr>
          <w:lang w:val="en-US"/>
        </w:rPr>
      </w:pPr>
      <w:r>
        <w:rPr>
          <w:lang w:val="en-US"/>
        </w:rPr>
        <w:t>The production of Comté did not delocalize despite the difficult geographic conditions, but has increased of 3% per year during the considered period. On the contrary Emmental’</w:t>
      </w:r>
      <w:r w:rsidR="00F75CB2">
        <w:rPr>
          <w:lang w:val="en-US"/>
        </w:rPr>
        <w:t>s</w:t>
      </w:r>
      <w:r>
        <w:rPr>
          <w:lang w:val="en-US"/>
        </w:rPr>
        <w:t xml:space="preserve"> production in Franche-Comté has decreased of 3.5% per year and delocalized massively in the west regions of France (where Emmental produced 70% of its cheese in 2002)</w:t>
      </w:r>
      <w:r>
        <w:rPr>
          <w:rStyle w:val="Appelnotedebasdep"/>
          <w:lang w:val="en-US"/>
        </w:rPr>
        <w:footnoteReference w:id="5"/>
      </w:r>
      <w:r>
        <w:rPr>
          <w:lang w:val="en-US"/>
        </w:rPr>
        <w:t xml:space="preserve">.  </w:t>
      </w:r>
    </w:p>
    <w:p w14:paraId="18596EDE" w14:textId="77777777" w:rsidR="0095479F" w:rsidRDefault="0095479F" w:rsidP="0095479F">
      <w:pPr>
        <w:pStyle w:val="Paragraphedeliste"/>
        <w:numPr>
          <w:ilvl w:val="1"/>
          <w:numId w:val="2"/>
        </w:numPr>
        <w:spacing w:line="276" w:lineRule="auto"/>
        <w:jc w:val="both"/>
        <w:rPr>
          <w:lang w:val="en-US"/>
        </w:rPr>
      </w:pPr>
      <w:r>
        <w:rPr>
          <w:lang w:val="en-US"/>
        </w:rPr>
        <w:t>The functioning rules of Comté require producers to stick to traditional production methods, allowing the region to conserve a part of its cultural patrimony</w:t>
      </w:r>
      <w:r>
        <w:rPr>
          <w:rStyle w:val="Appelnotedebasdep"/>
          <w:lang w:val="en-US"/>
        </w:rPr>
        <w:footnoteReference w:id="6"/>
      </w:r>
      <w:r>
        <w:rPr>
          <w:lang w:val="en-US"/>
        </w:rPr>
        <w:t xml:space="preserve">.   </w:t>
      </w:r>
    </w:p>
    <w:p w14:paraId="39FEECDA" w14:textId="2C54F6CC" w:rsidR="0095479F" w:rsidRPr="0063708C" w:rsidRDefault="0095479F" w:rsidP="0095479F">
      <w:pPr>
        <w:pStyle w:val="Paragraphedeliste"/>
        <w:numPr>
          <w:ilvl w:val="1"/>
          <w:numId w:val="2"/>
        </w:numPr>
        <w:spacing w:line="276" w:lineRule="auto"/>
        <w:jc w:val="both"/>
        <w:rPr>
          <w:lang w:val="en-US"/>
        </w:rPr>
      </w:pPr>
      <w:r>
        <w:rPr>
          <w:lang w:val="en-US"/>
        </w:rPr>
        <w:t>Rural employment</w:t>
      </w:r>
      <w:r w:rsidRPr="0063708C">
        <w:rPr>
          <w:lang w:val="en-US"/>
        </w:rPr>
        <w:t xml:space="preserve"> </w:t>
      </w:r>
      <w:r>
        <w:rPr>
          <w:lang w:val="en-US"/>
        </w:rPr>
        <w:t xml:space="preserve">is 5 times higher in Comté value chain than in Emmental for each collected liter of milk. As a </w:t>
      </w:r>
      <w:r w:rsidR="00F75CB2">
        <w:rPr>
          <w:lang w:val="en-US"/>
        </w:rPr>
        <w:t>consequence,</w:t>
      </w:r>
      <w:r>
        <w:rPr>
          <w:lang w:val="en-US"/>
        </w:rPr>
        <w:t xml:space="preserve"> common phenomenon of exodus from the country side to the cities is twice lower in the POD area than elsewhere in the region</w:t>
      </w:r>
      <w:r>
        <w:rPr>
          <w:rStyle w:val="Appelnotedebasdep"/>
          <w:lang w:val="en-US"/>
        </w:rPr>
        <w:footnoteReference w:id="7"/>
      </w:r>
      <w:r>
        <w:rPr>
          <w:lang w:val="en-US"/>
        </w:rPr>
        <w:t xml:space="preserve">. </w:t>
      </w:r>
    </w:p>
    <w:p w14:paraId="03D13580" w14:textId="77777777" w:rsidR="0095479F" w:rsidRDefault="0095479F" w:rsidP="0095479F">
      <w:pPr>
        <w:pStyle w:val="Paragraphedeliste"/>
        <w:numPr>
          <w:ilvl w:val="1"/>
          <w:numId w:val="2"/>
        </w:numPr>
        <w:spacing w:line="276" w:lineRule="auto"/>
        <w:jc w:val="both"/>
        <w:rPr>
          <w:lang w:val="en-US"/>
        </w:rPr>
      </w:pPr>
      <w:r>
        <w:rPr>
          <w:lang w:val="en-US"/>
        </w:rPr>
        <w:t>The name and notoriety of Comté attract tourists, which contribute to local economic growth</w:t>
      </w:r>
      <w:r>
        <w:rPr>
          <w:rStyle w:val="Appelnotedebasdep"/>
          <w:lang w:val="en-US"/>
        </w:rPr>
        <w:footnoteReference w:id="8"/>
      </w:r>
      <w:r>
        <w:rPr>
          <w:lang w:val="en-US"/>
        </w:rPr>
        <w:t>.</w:t>
      </w:r>
    </w:p>
    <w:p w14:paraId="0BFE1BDC" w14:textId="77777777" w:rsidR="0095479F" w:rsidRPr="000542EF" w:rsidRDefault="0095479F" w:rsidP="0095479F">
      <w:pPr>
        <w:pStyle w:val="Paragraphedeliste"/>
        <w:numPr>
          <w:ilvl w:val="1"/>
          <w:numId w:val="2"/>
        </w:numPr>
        <w:spacing w:line="276" w:lineRule="auto"/>
        <w:jc w:val="both"/>
        <w:rPr>
          <w:lang w:val="en-US"/>
        </w:rPr>
      </w:pPr>
      <w:r>
        <w:rPr>
          <w:lang w:val="en-US"/>
        </w:rPr>
        <w:t>The production of Comté cheese is considered to have a lower environmental impact that Emmental’s one: in POD area fertilizer is used in quantities 2.5 inferior than in non-POD area; cattle is bred more extensively; the recourse to meadows enhances biodiversity and contributes to maintain a beautiful landscape</w:t>
      </w:r>
      <w:r>
        <w:rPr>
          <w:rStyle w:val="Appelnotedebasdep"/>
          <w:lang w:val="en-US"/>
        </w:rPr>
        <w:footnoteReference w:id="9"/>
      </w:r>
      <w:r>
        <w:rPr>
          <w:lang w:val="en-US"/>
        </w:rPr>
        <w:t xml:space="preserve">.  </w:t>
      </w:r>
    </w:p>
    <w:p w14:paraId="2BF218B5" w14:textId="77777777" w:rsidR="00B318BD" w:rsidRDefault="00B318BD" w:rsidP="00B318BD">
      <w:pPr>
        <w:autoSpaceDE w:val="0"/>
        <w:autoSpaceDN w:val="0"/>
        <w:adjustRightInd w:val="0"/>
        <w:spacing w:after="0" w:line="276" w:lineRule="auto"/>
        <w:jc w:val="both"/>
        <w:rPr>
          <w:rFonts w:ascii="TimesNewRomanPSMT" w:hAnsi="TimesNewRomanPSMT" w:cs="TimesNewRomanPSMT"/>
          <w:sz w:val="20"/>
          <w:szCs w:val="20"/>
          <w:lang w:val="en-US"/>
        </w:rPr>
      </w:pPr>
      <w:r w:rsidRPr="00E33F1A">
        <w:rPr>
          <w:lang w:val="en-US"/>
        </w:rPr>
        <w:t>The reasons of such success can be found in a peculiarly positive combination of participatory mechanism of governance of the value chain, strong territorial linkages and the adoption of an institutional mechanism, geographical indications, that protect and crystalize in time the advantages of the two other factors</w:t>
      </w:r>
      <w:r>
        <w:rPr>
          <w:rFonts w:ascii="TimesNewRomanPSMT" w:hAnsi="TimesNewRomanPSMT" w:cs="TimesNewRomanPSMT"/>
          <w:sz w:val="20"/>
          <w:szCs w:val="20"/>
          <w:lang w:val="en-US"/>
        </w:rPr>
        <w:t>.</w:t>
      </w:r>
    </w:p>
    <w:p w14:paraId="7E7452A6" w14:textId="153A7380" w:rsidR="009051DE" w:rsidRDefault="009051DE" w:rsidP="009051DE">
      <w:pPr>
        <w:spacing w:line="276" w:lineRule="auto"/>
        <w:jc w:val="both"/>
        <w:rPr>
          <w:lang w:val="en-US"/>
        </w:rPr>
      </w:pPr>
    </w:p>
    <w:p w14:paraId="7E6D9F62" w14:textId="77777777" w:rsidR="00267341" w:rsidRPr="00006B29" w:rsidRDefault="00267341" w:rsidP="009051DE">
      <w:pPr>
        <w:spacing w:line="276" w:lineRule="auto"/>
        <w:jc w:val="both"/>
        <w:rPr>
          <w:lang w:val="en-US"/>
        </w:rPr>
      </w:pPr>
    </w:p>
    <w:p w14:paraId="4F9393E1" w14:textId="77777777" w:rsidR="009051DE" w:rsidRPr="00BD4CC2" w:rsidRDefault="009051DE" w:rsidP="009051DE">
      <w:pPr>
        <w:spacing w:after="0" w:line="264" w:lineRule="auto"/>
        <w:jc w:val="both"/>
        <w:rPr>
          <w:rFonts w:ascii="Arial" w:hAnsi="Arial" w:cs="Arial"/>
          <w:b/>
          <w:color w:val="0070C0"/>
          <w:lang w:val="en-GB"/>
        </w:rPr>
      </w:pPr>
      <w:r>
        <w:rPr>
          <w:rFonts w:ascii="Arial" w:hAnsi="Arial" w:cs="Arial"/>
          <w:b/>
          <w:color w:val="0070C0"/>
          <w:lang w:val="en-GB"/>
        </w:rPr>
        <w:t>2</w:t>
      </w:r>
      <w:r w:rsidRPr="00BD4CC2">
        <w:rPr>
          <w:rFonts w:ascii="Arial" w:hAnsi="Arial" w:cs="Arial"/>
          <w:b/>
          <w:color w:val="0070C0"/>
          <w:lang w:val="en-GB"/>
        </w:rPr>
        <w:t xml:space="preserve">. </w:t>
      </w:r>
      <w:r>
        <w:rPr>
          <w:rFonts w:ascii="Arial" w:hAnsi="Arial" w:cs="Arial"/>
          <w:b/>
          <w:color w:val="0070C0"/>
          <w:lang w:val="en-GB"/>
        </w:rPr>
        <w:t>Systemic dimension</w:t>
      </w:r>
      <w:r w:rsidRPr="00BD4CC2">
        <w:rPr>
          <w:rFonts w:ascii="Arial" w:hAnsi="Arial" w:cs="Arial"/>
          <w:b/>
          <w:color w:val="0070C0"/>
          <w:lang w:val="en-GB"/>
        </w:rPr>
        <w:tab/>
      </w:r>
    </w:p>
    <w:p w14:paraId="6B9CF607" w14:textId="77777777" w:rsidR="009051DE" w:rsidRDefault="009051DE" w:rsidP="009051DE">
      <w:pPr>
        <w:spacing w:after="0" w:line="264" w:lineRule="auto"/>
        <w:jc w:val="both"/>
        <w:rPr>
          <w:rFonts w:ascii="Arial" w:hAnsi="Arial" w:cs="Arial"/>
          <w:color w:val="0070C0"/>
          <w:lang w:val="en-GB"/>
        </w:rPr>
      </w:pPr>
    </w:p>
    <w:p w14:paraId="7F975BD5" w14:textId="77777777" w:rsidR="009051DE" w:rsidRPr="00BD4CC2" w:rsidRDefault="009051DE" w:rsidP="009051DE">
      <w:pPr>
        <w:spacing w:after="0" w:line="264" w:lineRule="auto"/>
        <w:jc w:val="both"/>
        <w:rPr>
          <w:rFonts w:ascii="Arial" w:hAnsi="Arial" w:cs="Arial"/>
          <w:color w:val="0070C0"/>
          <w:lang w:val="en-GB"/>
        </w:rPr>
      </w:pPr>
      <w:r>
        <w:rPr>
          <w:rFonts w:ascii="Arial" w:hAnsi="Arial" w:cs="Arial"/>
          <w:color w:val="0070C0"/>
          <w:lang w:val="en-GB"/>
        </w:rPr>
        <w:t>L</w:t>
      </w:r>
      <w:r w:rsidRPr="00A345F4">
        <w:rPr>
          <w:rFonts w:ascii="Arial" w:hAnsi="Arial" w:cs="Arial"/>
          <w:color w:val="0070C0"/>
          <w:lang w:val="en-GB"/>
        </w:rPr>
        <w:t>ink between the local, national and international levels</w:t>
      </w:r>
    </w:p>
    <w:p w14:paraId="6CAAECCB" w14:textId="67742985" w:rsidR="009051DE" w:rsidRDefault="009051DE" w:rsidP="009051DE">
      <w:pPr>
        <w:spacing w:after="0"/>
        <w:jc w:val="both"/>
        <w:rPr>
          <w:rFonts w:ascii="Arial" w:hAnsi="Arial" w:cs="Arial"/>
          <w:lang w:val="en-GB"/>
        </w:rPr>
      </w:pPr>
    </w:p>
    <w:p w14:paraId="681EBDF3" w14:textId="1084DFEB" w:rsidR="00C623E4" w:rsidRDefault="00C623E4" w:rsidP="00C623E4">
      <w:pPr>
        <w:jc w:val="both"/>
        <w:rPr>
          <w:lang w:val="en-US"/>
        </w:rPr>
      </w:pPr>
      <w:r>
        <w:rPr>
          <w:lang w:val="en-US"/>
        </w:rPr>
        <w:t>The success of Geographical Indications seems to be closely related to their capacity to foster significant consumer demand on national and international markets while securing the authenticity of the protected product</w:t>
      </w:r>
      <w:r>
        <w:rPr>
          <w:lang w:val="en-US"/>
        </w:rPr>
        <w:t>.</w:t>
      </w:r>
    </w:p>
    <w:p w14:paraId="60FFD94E" w14:textId="77777777" w:rsidR="00267341" w:rsidRDefault="00D156A5" w:rsidP="00C623E4">
      <w:pPr>
        <w:jc w:val="both"/>
        <w:rPr>
          <w:lang w:val="en-US"/>
        </w:rPr>
      </w:pPr>
      <w:r>
        <w:rPr>
          <w:lang w:val="en-US"/>
        </w:rPr>
        <w:t>I</w:t>
      </w:r>
      <w:r w:rsidR="00C623E4">
        <w:rPr>
          <w:lang w:val="en-US"/>
        </w:rPr>
        <w:t>n the previous example, t</w:t>
      </w:r>
      <w:r w:rsidR="00C623E4" w:rsidRPr="00C623E4">
        <w:rPr>
          <w:lang w:val="en-US"/>
        </w:rPr>
        <w:t xml:space="preserve">he production of Comté has long historical, cultural and ecological networks. The tree main actors of the value chain (milk, fresh cheese and ripened cheese producers) share a deep understanding of quality and agree that the latter is defined by: the environmental specific conditions of their mountainous region, their artisanal capacities and traditional farmers’ practices. </w:t>
      </w:r>
    </w:p>
    <w:p w14:paraId="446EFEE5" w14:textId="4E88610C" w:rsidR="00C623E4" w:rsidRPr="00C623E4" w:rsidRDefault="00C623E4" w:rsidP="00C623E4">
      <w:pPr>
        <w:jc w:val="both"/>
        <w:rPr>
          <w:lang w:val="en-US"/>
        </w:rPr>
      </w:pPr>
      <w:r w:rsidRPr="00C623E4">
        <w:rPr>
          <w:lang w:val="en-US"/>
        </w:rPr>
        <w:t xml:space="preserve">Comté producers </w:t>
      </w:r>
      <w:r w:rsidR="00D156A5">
        <w:rPr>
          <w:lang w:val="en-US"/>
        </w:rPr>
        <w:t>ensure</w:t>
      </w:r>
      <w:r w:rsidRPr="00C623E4">
        <w:rPr>
          <w:lang w:val="en-US"/>
        </w:rPr>
        <w:t xml:space="preserve"> that </w:t>
      </w:r>
      <w:r w:rsidR="00D156A5">
        <w:rPr>
          <w:lang w:val="en-US"/>
        </w:rPr>
        <w:t>their</w:t>
      </w:r>
      <w:r w:rsidRPr="00C623E4">
        <w:rPr>
          <w:lang w:val="en-US"/>
        </w:rPr>
        <w:t xml:space="preserve"> milk translate</w:t>
      </w:r>
      <w:r w:rsidR="00D156A5">
        <w:rPr>
          <w:lang w:val="en-US"/>
        </w:rPr>
        <w:t>s</w:t>
      </w:r>
      <w:r w:rsidRPr="00C623E4">
        <w:rPr>
          <w:lang w:val="en-US"/>
        </w:rPr>
        <w:t xml:space="preserve"> the uniqueness of the territory, because the cattle is fed by natural local forage that varies from season to season and give to the cheese its specific qualities. </w:t>
      </w:r>
      <w:proofErr w:type="gramStart"/>
      <w:r w:rsidRPr="00C623E4">
        <w:rPr>
          <w:lang w:val="en-US"/>
        </w:rPr>
        <w:t>Moreover</w:t>
      </w:r>
      <w:proofErr w:type="gramEnd"/>
      <w:r w:rsidRPr="00C623E4">
        <w:rPr>
          <w:lang w:val="en-US"/>
        </w:rPr>
        <w:t xml:space="preserve"> they see the diversity of artisanal practices as the strength of Comté cheese and what makes it unique and appealing on the market.</w:t>
      </w:r>
    </w:p>
    <w:p w14:paraId="0F38FD5A" w14:textId="77777777" w:rsidR="00267341" w:rsidRDefault="00267341" w:rsidP="00D156A5">
      <w:pPr>
        <w:jc w:val="both"/>
        <w:rPr>
          <w:lang w:val="en-US"/>
        </w:rPr>
      </w:pPr>
    </w:p>
    <w:p w14:paraId="2797B01A" w14:textId="52407E45" w:rsidR="00C623E4" w:rsidRPr="00D156A5" w:rsidRDefault="00C623E4" w:rsidP="00D156A5">
      <w:pPr>
        <w:jc w:val="both"/>
        <w:rPr>
          <w:lang w:val="en-US"/>
        </w:rPr>
      </w:pPr>
      <w:r w:rsidRPr="00D156A5">
        <w:rPr>
          <w:lang w:val="en-US"/>
        </w:rPr>
        <w:t>This understanding is formalized through a code of practices aimed at preserving complexity and diversity of production practices. The code prescribes, for example, extensive cattle breeding and hinders concentrations of economic actors through specific rules of milk collection. These rules valorize at most local endowments and persuade consumers and retailers of the specificity of the cheese. As a consequence, Comté managed to escape standard competition based on low prices and assures itself higher value added branches of the market.</w:t>
      </w:r>
    </w:p>
    <w:p w14:paraId="6E69B3AC" w14:textId="415329F7" w:rsidR="00C623E4" w:rsidRDefault="00C623E4" w:rsidP="009051DE">
      <w:pPr>
        <w:spacing w:after="0"/>
        <w:jc w:val="both"/>
        <w:rPr>
          <w:rFonts w:ascii="Arial" w:hAnsi="Arial" w:cs="Arial"/>
          <w:lang w:val="en-US"/>
        </w:rPr>
      </w:pPr>
    </w:p>
    <w:p w14:paraId="2BA0B590" w14:textId="2478E748" w:rsidR="00D156A5" w:rsidRPr="00881135" w:rsidRDefault="00D156A5" w:rsidP="00D156A5">
      <w:pPr>
        <w:spacing w:after="0" w:line="264" w:lineRule="auto"/>
        <w:jc w:val="both"/>
        <w:rPr>
          <w:rFonts w:ascii="Arial" w:hAnsi="Arial" w:cs="Arial"/>
          <w:color w:val="0070C0"/>
          <w:lang w:val="en-GB"/>
        </w:rPr>
      </w:pPr>
      <w:r w:rsidRPr="00881135">
        <w:rPr>
          <w:rFonts w:ascii="Arial" w:hAnsi="Arial" w:cs="Arial"/>
          <w:color w:val="0070C0"/>
          <w:lang w:val="en-GB"/>
        </w:rPr>
        <w:t xml:space="preserve">Capacity </w:t>
      </w:r>
      <w:r w:rsidR="00267341">
        <w:rPr>
          <w:rFonts w:ascii="Arial" w:hAnsi="Arial" w:cs="Arial"/>
          <w:color w:val="0070C0"/>
          <w:lang w:val="en-GB"/>
        </w:rPr>
        <w:t xml:space="preserve">building of </w:t>
      </w:r>
      <w:r w:rsidRPr="00881135">
        <w:rPr>
          <w:rFonts w:ascii="Arial" w:hAnsi="Arial" w:cs="Arial"/>
          <w:color w:val="0070C0"/>
          <w:lang w:val="en-GB"/>
        </w:rPr>
        <w:t>stakeholders</w:t>
      </w:r>
    </w:p>
    <w:p w14:paraId="4F6225EF" w14:textId="2F4C8C6F" w:rsidR="00D156A5" w:rsidRPr="00267341" w:rsidRDefault="00D156A5" w:rsidP="00267341">
      <w:pPr>
        <w:spacing w:after="0"/>
        <w:jc w:val="both"/>
        <w:rPr>
          <w:lang w:val="en-US"/>
        </w:rPr>
      </w:pPr>
    </w:p>
    <w:p w14:paraId="78F658C6" w14:textId="77777777" w:rsidR="00267341" w:rsidRDefault="00267341" w:rsidP="00267341">
      <w:pPr>
        <w:jc w:val="both"/>
        <w:rPr>
          <w:lang w:val="en-US"/>
        </w:rPr>
      </w:pPr>
      <w:r>
        <w:rPr>
          <w:lang w:val="en-US"/>
        </w:rPr>
        <w:t>According to several experts (</w:t>
      </w:r>
      <w:r w:rsidRPr="00267341">
        <w:rPr>
          <w:lang w:val="en-US"/>
        </w:rPr>
        <w:t xml:space="preserve">Fournier and </w:t>
      </w:r>
      <w:proofErr w:type="spellStart"/>
      <w:r w:rsidRPr="00267341">
        <w:rPr>
          <w:lang w:val="en-US"/>
        </w:rPr>
        <w:t>Champredonde</w:t>
      </w:r>
      <w:proofErr w:type="spellEnd"/>
      <w:r w:rsidRPr="00267341">
        <w:rPr>
          <w:lang w:val="en-US"/>
        </w:rPr>
        <w:t xml:space="preserve">, 2014) </w:t>
      </w:r>
      <w:r>
        <w:rPr>
          <w:lang w:val="en-US"/>
        </w:rPr>
        <w:t xml:space="preserve">the impacts of GIs are often positive if they thrive upon already existing </w:t>
      </w:r>
      <w:proofErr w:type="spellStart"/>
      <w:r>
        <w:rPr>
          <w:lang w:val="en-US"/>
        </w:rPr>
        <w:t>Localised</w:t>
      </w:r>
      <w:proofErr w:type="spellEnd"/>
      <w:r>
        <w:rPr>
          <w:lang w:val="en-US"/>
        </w:rPr>
        <w:t xml:space="preserve"> Food System (LFS), where </w:t>
      </w:r>
      <w:proofErr w:type="spellStart"/>
      <w:r>
        <w:rPr>
          <w:lang w:val="en-US"/>
        </w:rPr>
        <w:t>agro</w:t>
      </w:r>
      <w:proofErr w:type="spellEnd"/>
      <w:r>
        <w:rPr>
          <w:lang w:val="en-US"/>
        </w:rPr>
        <w:t>-food value chains are embedded in the territory and function through active actors’ dynamics which are both collaborative and competitive at the same time</w:t>
      </w:r>
    </w:p>
    <w:p w14:paraId="1DB8960C" w14:textId="77777777" w:rsidR="00267341" w:rsidRDefault="00267341" w:rsidP="00267341">
      <w:pPr>
        <w:jc w:val="both"/>
        <w:rPr>
          <w:lang w:val="en-US"/>
        </w:rPr>
      </w:pPr>
      <w:r>
        <w:rPr>
          <w:lang w:val="en-US"/>
        </w:rPr>
        <w:t>These dynamics are facilitated by:</w:t>
      </w:r>
    </w:p>
    <w:p w14:paraId="4D611669" w14:textId="77777777" w:rsidR="00267341" w:rsidRDefault="00267341" w:rsidP="00267341">
      <w:pPr>
        <w:pStyle w:val="Paragraphedeliste"/>
        <w:numPr>
          <w:ilvl w:val="0"/>
          <w:numId w:val="18"/>
        </w:numPr>
        <w:jc w:val="both"/>
        <w:rPr>
          <w:lang w:val="en-US"/>
        </w:rPr>
      </w:pPr>
      <w:r w:rsidRPr="006A3C44">
        <w:rPr>
          <w:lang w:val="en-US"/>
        </w:rPr>
        <w:t>physical, cultural, institutional and often personal “proximity”</w:t>
      </w:r>
      <w:r>
        <w:rPr>
          <w:lang w:val="en-US"/>
        </w:rPr>
        <w:t>;</w:t>
      </w:r>
    </w:p>
    <w:p w14:paraId="20A5A1FF" w14:textId="77777777" w:rsidR="00267341" w:rsidRDefault="00267341" w:rsidP="00267341">
      <w:pPr>
        <w:pStyle w:val="Paragraphedeliste"/>
        <w:numPr>
          <w:ilvl w:val="0"/>
          <w:numId w:val="18"/>
        </w:numPr>
        <w:jc w:val="both"/>
        <w:rPr>
          <w:lang w:val="en-US"/>
        </w:rPr>
      </w:pPr>
      <w:r>
        <w:rPr>
          <w:lang w:val="en-US"/>
        </w:rPr>
        <w:t>confidence;</w:t>
      </w:r>
    </w:p>
    <w:p w14:paraId="0D44840A" w14:textId="77777777" w:rsidR="00267341" w:rsidRDefault="00267341" w:rsidP="00267341">
      <w:pPr>
        <w:pStyle w:val="Paragraphedeliste"/>
        <w:numPr>
          <w:ilvl w:val="0"/>
          <w:numId w:val="18"/>
        </w:numPr>
        <w:jc w:val="both"/>
        <w:rPr>
          <w:lang w:val="en-US"/>
        </w:rPr>
      </w:pPr>
      <w:r>
        <w:rPr>
          <w:lang w:val="en-US"/>
        </w:rPr>
        <w:t>the presence of existing institutions linking the actors;</w:t>
      </w:r>
    </w:p>
    <w:p w14:paraId="188A234A" w14:textId="77777777" w:rsidR="00267341" w:rsidRDefault="00267341" w:rsidP="00267341">
      <w:pPr>
        <w:pStyle w:val="Paragraphedeliste"/>
        <w:numPr>
          <w:ilvl w:val="0"/>
          <w:numId w:val="18"/>
        </w:numPr>
        <w:jc w:val="both"/>
        <w:rPr>
          <w:lang w:val="en-US"/>
        </w:rPr>
      </w:pPr>
      <w:r>
        <w:rPr>
          <w:lang w:val="en-US"/>
        </w:rPr>
        <w:t>and irreversibility, meaning the difficulty of an actor to withdraw from a collaborative process while norms and rules evolve.</w:t>
      </w:r>
    </w:p>
    <w:p w14:paraId="06789571" w14:textId="77777777" w:rsidR="00267341" w:rsidRDefault="00267341" w:rsidP="00267341">
      <w:pPr>
        <w:jc w:val="both"/>
        <w:rPr>
          <w:lang w:val="en-US"/>
        </w:rPr>
      </w:pPr>
      <w:r>
        <w:rPr>
          <w:lang w:val="en-US"/>
        </w:rPr>
        <w:t xml:space="preserve">These collaborative/competitive dynamics can be useful if the actors of the LFS have to face a common threat - like international competition - or want to take advantage of a common opportunity – like exploiting a local resource - through a collective action, which can be the motor of innovation or of local development. </w:t>
      </w:r>
    </w:p>
    <w:p w14:paraId="5B09D56F" w14:textId="77777777" w:rsidR="00267341" w:rsidRDefault="00267341" w:rsidP="00267341">
      <w:pPr>
        <w:jc w:val="both"/>
        <w:rPr>
          <w:lang w:val="en-US"/>
        </w:rPr>
      </w:pPr>
      <w:r>
        <w:rPr>
          <w:lang w:val="en-US"/>
        </w:rPr>
        <w:t>These collective actions, however, follow their own life cycles and are not always durable.  The Geographical Indications can then be a tool of crystalizing these dynamics and allow them to last in time, through the establishment of common rules and of a systems governance allowing the LFS to:</w:t>
      </w:r>
    </w:p>
    <w:p w14:paraId="234DE4CF" w14:textId="77777777" w:rsidR="00267341" w:rsidRDefault="00267341" w:rsidP="00267341">
      <w:pPr>
        <w:pStyle w:val="Paragraphedeliste"/>
        <w:numPr>
          <w:ilvl w:val="0"/>
          <w:numId w:val="19"/>
        </w:numPr>
        <w:jc w:val="both"/>
        <w:rPr>
          <w:lang w:val="en-US"/>
        </w:rPr>
      </w:pPr>
      <w:r>
        <w:rPr>
          <w:lang w:val="en-US"/>
        </w:rPr>
        <w:t>share equitably the benefits of a collective action;</w:t>
      </w:r>
    </w:p>
    <w:p w14:paraId="7E4F98BC" w14:textId="77777777" w:rsidR="00267341" w:rsidRPr="00BC509E" w:rsidRDefault="00267341" w:rsidP="00267341">
      <w:pPr>
        <w:pStyle w:val="Paragraphedeliste"/>
        <w:numPr>
          <w:ilvl w:val="0"/>
          <w:numId w:val="19"/>
        </w:numPr>
        <w:spacing w:after="0" w:line="264" w:lineRule="auto"/>
        <w:jc w:val="both"/>
        <w:rPr>
          <w:rFonts w:ascii="Arial" w:hAnsi="Arial" w:cs="Arial"/>
          <w:color w:val="0070C0"/>
          <w:lang w:val="en-GB"/>
        </w:rPr>
      </w:pPr>
      <w:r w:rsidRPr="00BC509E">
        <w:rPr>
          <w:lang w:val="en-US"/>
        </w:rPr>
        <w:t>manage conflicts;</w:t>
      </w:r>
    </w:p>
    <w:p w14:paraId="4EA365B3" w14:textId="77777777" w:rsidR="00267341" w:rsidRPr="00BC509E" w:rsidRDefault="00267341" w:rsidP="00267341">
      <w:pPr>
        <w:pStyle w:val="Paragraphedeliste"/>
        <w:numPr>
          <w:ilvl w:val="0"/>
          <w:numId w:val="19"/>
        </w:numPr>
        <w:spacing w:after="0" w:line="264" w:lineRule="auto"/>
        <w:jc w:val="both"/>
        <w:rPr>
          <w:rFonts w:ascii="Arial" w:hAnsi="Arial" w:cs="Arial"/>
          <w:color w:val="0070C0"/>
          <w:lang w:val="en-GB"/>
        </w:rPr>
      </w:pPr>
      <w:r w:rsidRPr="00BC509E">
        <w:rPr>
          <w:lang w:val="en-US"/>
        </w:rPr>
        <w:t>face crisis moments without dissolving collective dynamics</w:t>
      </w:r>
    </w:p>
    <w:p w14:paraId="6D81522D" w14:textId="01121DD4" w:rsidR="00267341" w:rsidRDefault="00267341" w:rsidP="00267341">
      <w:pPr>
        <w:spacing w:after="0" w:line="276" w:lineRule="auto"/>
        <w:jc w:val="both"/>
        <w:rPr>
          <w:lang w:val="en-US"/>
        </w:rPr>
      </w:pPr>
    </w:p>
    <w:p w14:paraId="2F0EFF18" w14:textId="77777777" w:rsidR="00267341" w:rsidRDefault="00267341" w:rsidP="00267341">
      <w:pPr>
        <w:spacing w:after="0" w:line="276" w:lineRule="auto"/>
        <w:jc w:val="both"/>
        <w:rPr>
          <w:lang w:val="en-US"/>
        </w:rPr>
      </w:pPr>
    </w:p>
    <w:p w14:paraId="57B862C4" w14:textId="77777777" w:rsidR="00D156A5" w:rsidRPr="00F946B0" w:rsidRDefault="00D156A5" w:rsidP="00D156A5">
      <w:pPr>
        <w:spacing w:after="0" w:line="264" w:lineRule="auto"/>
        <w:jc w:val="both"/>
        <w:rPr>
          <w:rFonts w:ascii="Arial" w:hAnsi="Arial" w:cs="Arial"/>
          <w:color w:val="0070C0"/>
          <w:lang w:val="en-GB"/>
        </w:rPr>
      </w:pPr>
      <w:r>
        <w:rPr>
          <w:rFonts w:ascii="Arial" w:hAnsi="Arial" w:cs="Arial"/>
          <w:color w:val="0070C0"/>
          <w:lang w:val="en-GB"/>
        </w:rPr>
        <w:t>Hard Law / Soft Law linkages</w:t>
      </w:r>
    </w:p>
    <w:p w14:paraId="57B1E0D4" w14:textId="77777777" w:rsidR="00D156A5" w:rsidRPr="00D156A5" w:rsidRDefault="00D156A5" w:rsidP="00267341">
      <w:pPr>
        <w:spacing w:after="0"/>
        <w:jc w:val="both"/>
        <w:rPr>
          <w:lang w:val="en-US"/>
        </w:rPr>
      </w:pPr>
    </w:p>
    <w:p w14:paraId="2C82E5B3" w14:textId="5F0A164C" w:rsidR="00D156A5" w:rsidRPr="00D156A5" w:rsidRDefault="00D156A5" w:rsidP="00D156A5">
      <w:pPr>
        <w:spacing w:after="0"/>
        <w:jc w:val="both"/>
        <w:rPr>
          <w:lang w:val="en-US"/>
        </w:rPr>
      </w:pPr>
      <w:r w:rsidRPr="00D156A5">
        <w:rPr>
          <w:lang w:val="en-US"/>
        </w:rPr>
        <w:t>Most</w:t>
      </w:r>
      <w:r w:rsidRPr="00D156A5">
        <w:rPr>
          <w:lang w:val="en-US"/>
        </w:rPr>
        <w:t xml:space="preserve"> Geographical Indications in Europe, benefit from the key role being played by national governments.  Public authorities are first involved to validate the specifications developed by the stakeholders of GIs and to give accreditation to the inspection bodies that verify compliance requirements on the ground, a critical role to ensure the credibility of the Geographical Indication.</w:t>
      </w:r>
    </w:p>
    <w:p w14:paraId="443593D6" w14:textId="77777777" w:rsidR="00267341" w:rsidRDefault="00267341" w:rsidP="00D156A5">
      <w:pPr>
        <w:spacing w:after="0"/>
        <w:jc w:val="both"/>
        <w:rPr>
          <w:lang w:val="en-US"/>
        </w:rPr>
      </w:pPr>
    </w:p>
    <w:p w14:paraId="34B2C06C" w14:textId="200A3F92" w:rsidR="00D156A5" w:rsidRPr="00D156A5" w:rsidRDefault="00D156A5" w:rsidP="00D156A5">
      <w:pPr>
        <w:spacing w:after="0"/>
        <w:jc w:val="both"/>
        <w:rPr>
          <w:lang w:val="en-US"/>
        </w:rPr>
      </w:pPr>
      <w:r w:rsidRPr="00D156A5">
        <w:rPr>
          <w:lang w:val="en-US"/>
        </w:rPr>
        <w:t>In addition, States play a vital role to protect the names related to geographical indications against potential fraudsters (e.g. Parma ham produced in Mexico or coffee blends sold under the name ‘Colombian Coffee’).</w:t>
      </w:r>
    </w:p>
    <w:p w14:paraId="229743A1" w14:textId="77777777" w:rsidR="00267341" w:rsidRDefault="00267341" w:rsidP="00D156A5">
      <w:pPr>
        <w:spacing w:after="0"/>
        <w:jc w:val="both"/>
        <w:rPr>
          <w:lang w:val="en-US"/>
        </w:rPr>
      </w:pPr>
    </w:p>
    <w:p w14:paraId="2E7DCFFC" w14:textId="185C28D5" w:rsidR="00D156A5" w:rsidRPr="00D156A5" w:rsidRDefault="00D156A5" w:rsidP="00D156A5">
      <w:pPr>
        <w:spacing w:after="0"/>
        <w:jc w:val="both"/>
        <w:rPr>
          <w:lang w:val="en-US"/>
        </w:rPr>
      </w:pPr>
      <w:r w:rsidRPr="00D156A5">
        <w:rPr>
          <w:lang w:val="en-US"/>
        </w:rPr>
        <w:t>Additionally, in most cases, governments authorise Geographical Indication actors to discuss price and volume issues without being subject to sanctions by competition authorities.</w:t>
      </w:r>
    </w:p>
    <w:p w14:paraId="01AAA323" w14:textId="17A6656A" w:rsidR="00B318BD" w:rsidRDefault="00B318BD" w:rsidP="00B318BD">
      <w:pPr>
        <w:autoSpaceDE w:val="0"/>
        <w:autoSpaceDN w:val="0"/>
        <w:adjustRightInd w:val="0"/>
        <w:spacing w:after="0" w:line="276" w:lineRule="auto"/>
        <w:rPr>
          <w:rFonts w:ascii="TimesNewRomanPSMT" w:hAnsi="TimesNewRomanPSMT" w:cs="TimesNewRomanPSMT"/>
          <w:sz w:val="20"/>
          <w:szCs w:val="20"/>
          <w:lang w:val="en-GB"/>
        </w:rPr>
      </w:pPr>
    </w:p>
    <w:p w14:paraId="658D43AF" w14:textId="776A88E8" w:rsidR="00D156A5" w:rsidRDefault="00D156A5" w:rsidP="00B318BD">
      <w:pPr>
        <w:autoSpaceDE w:val="0"/>
        <w:autoSpaceDN w:val="0"/>
        <w:adjustRightInd w:val="0"/>
        <w:spacing w:after="0" w:line="276" w:lineRule="auto"/>
        <w:rPr>
          <w:rFonts w:ascii="TimesNewRomanPSMT" w:hAnsi="TimesNewRomanPSMT" w:cs="TimesNewRomanPSMT"/>
          <w:sz w:val="20"/>
          <w:szCs w:val="20"/>
          <w:lang w:val="en-GB"/>
        </w:rPr>
      </w:pPr>
    </w:p>
    <w:p w14:paraId="5942A64F" w14:textId="77777777" w:rsidR="00D156A5" w:rsidRPr="00F946B0" w:rsidRDefault="00D156A5" w:rsidP="00D156A5">
      <w:pPr>
        <w:spacing w:after="0" w:line="264" w:lineRule="auto"/>
        <w:jc w:val="both"/>
        <w:rPr>
          <w:rFonts w:ascii="Arial" w:hAnsi="Arial" w:cs="Arial"/>
          <w:color w:val="0070C0"/>
          <w:lang w:val="en-GB"/>
        </w:rPr>
      </w:pPr>
      <w:r w:rsidRPr="00F946B0">
        <w:rPr>
          <w:rFonts w:ascii="Arial" w:hAnsi="Arial" w:cs="Arial"/>
          <w:color w:val="0070C0"/>
          <w:lang w:val="en-GB"/>
        </w:rPr>
        <w:t>Link between the social, environmental and economic dimensions</w:t>
      </w:r>
    </w:p>
    <w:p w14:paraId="6CF30042" w14:textId="5D6418D4" w:rsidR="00D156A5" w:rsidRDefault="00D156A5" w:rsidP="00D156A5">
      <w:pPr>
        <w:jc w:val="both"/>
        <w:rPr>
          <w:lang w:val="en-GB"/>
        </w:rPr>
      </w:pPr>
    </w:p>
    <w:p w14:paraId="019427E1" w14:textId="77777777" w:rsidR="00D156A5" w:rsidRDefault="00D156A5" w:rsidP="00D156A5">
      <w:pPr>
        <w:jc w:val="both"/>
        <w:rPr>
          <w:lang w:val="en-US"/>
        </w:rPr>
      </w:pPr>
      <w:r w:rsidRPr="00D156A5">
        <w:rPr>
          <w:lang w:val="en-GB"/>
        </w:rPr>
        <w:t xml:space="preserve">Another limitation of many Geographical Indications’ value chains is to focus primarily on economic issues.  If the environmental dimension is also often present, it is </w:t>
      </w:r>
      <w:r>
        <w:rPr>
          <w:lang w:val="en-GB"/>
        </w:rPr>
        <w:t xml:space="preserve">not systematically incorporated: </w:t>
      </w:r>
      <w:r w:rsidRPr="003C6D99">
        <w:rPr>
          <w:lang w:val="en-US"/>
        </w:rPr>
        <w:t xml:space="preserve">GIs are not supposed to be environmentally friendly per se and they usually present environmental benefits only if ecological requirements are specified in the code of practices. </w:t>
      </w:r>
    </w:p>
    <w:p w14:paraId="0E0780F7" w14:textId="492FFFE3" w:rsidR="00D156A5" w:rsidRPr="00D156A5" w:rsidRDefault="00D156A5" w:rsidP="00D156A5">
      <w:pPr>
        <w:jc w:val="both"/>
        <w:rPr>
          <w:lang w:val="en-GB"/>
        </w:rPr>
      </w:pPr>
      <w:r w:rsidRPr="003C6D99">
        <w:rPr>
          <w:lang w:val="en-US"/>
        </w:rPr>
        <w:t>This is the case of Comté cheese that requires extensive cattle breeding. But it is not the case of most wines - which make up most of the GIs registered products – whose production requires the use of a high amount of pesticides. The marketing success of the GI lead</w:t>
      </w:r>
      <w:r>
        <w:rPr>
          <w:lang w:val="en-US"/>
        </w:rPr>
        <w:t>s</w:t>
      </w:r>
      <w:r w:rsidRPr="003C6D99">
        <w:rPr>
          <w:lang w:val="en-US"/>
        </w:rPr>
        <w:t xml:space="preserve"> to h</w:t>
      </w:r>
      <w:r>
        <w:rPr>
          <w:lang w:val="en-US"/>
        </w:rPr>
        <w:t>igher value of the grape and therefore</w:t>
      </w:r>
      <w:r w:rsidRPr="003C6D99">
        <w:rPr>
          <w:lang w:val="en-US"/>
        </w:rPr>
        <w:t xml:space="preserve"> lower</w:t>
      </w:r>
      <w:r>
        <w:rPr>
          <w:lang w:val="en-US"/>
        </w:rPr>
        <w:t>s the</w:t>
      </w:r>
      <w:r w:rsidRPr="003C6D99">
        <w:rPr>
          <w:lang w:val="en-US"/>
        </w:rPr>
        <w:t xml:space="preserve"> cost of </w:t>
      </w:r>
      <w:r>
        <w:rPr>
          <w:lang w:val="en-US"/>
        </w:rPr>
        <w:t>using</w:t>
      </w:r>
      <w:r w:rsidRPr="003C6D99">
        <w:rPr>
          <w:lang w:val="en-US"/>
        </w:rPr>
        <w:t xml:space="preserve"> pesticide</w:t>
      </w:r>
      <w:r>
        <w:rPr>
          <w:lang w:val="en-US"/>
        </w:rPr>
        <w:t>s</w:t>
      </w:r>
      <w:r w:rsidRPr="003C6D99">
        <w:rPr>
          <w:lang w:val="en-US"/>
        </w:rPr>
        <w:t>, which become more affordable, considering the increased revenues for the farmer. If the code of practices does not set specific limits, the farmer might be encouraged to use more pesticide to protect his grape and increase his revenues.</w:t>
      </w:r>
      <w:r>
        <w:rPr>
          <w:lang w:val="en-GB"/>
        </w:rPr>
        <w:t xml:space="preserve"> One of the best</w:t>
      </w:r>
      <w:r w:rsidRPr="00D156A5">
        <w:rPr>
          <w:lang w:val="en-GB"/>
        </w:rPr>
        <w:t xml:space="preserve"> examples </w:t>
      </w:r>
      <w:r>
        <w:rPr>
          <w:lang w:val="en-GB"/>
        </w:rPr>
        <w:t>is</w:t>
      </w:r>
      <w:r w:rsidRPr="00D156A5">
        <w:rPr>
          <w:lang w:val="en-GB"/>
        </w:rPr>
        <w:t xml:space="preserve"> ‘Champagne’ where producers </w:t>
      </w:r>
      <w:r>
        <w:rPr>
          <w:lang w:val="en-GB"/>
        </w:rPr>
        <w:t>t</w:t>
      </w:r>
      <w:r w:rsidRPr="00D156A5">
        <w:rPr>
          <w:lang w:val="en-GB"/>
        </w:rPr>
        <w:t>he higher prices obtained thanks to the Geographical Indication can even be seen to encourage farmers to use more and more</w:t>
      </w:r>
      <w:r>
        <w:rPr>
          <w:lang w:val="en-GB"/>
        </w:rPr>
        <w:t xml:space="preserve"> chemical inputs</w:t>
      </w:r>
      <w:r w:rsidRPr="00D156A5">
        <w:rPr>
          <w:lang w:val="en-GB"/>
        </w:rPr>
        <w:t>.</w:t>
      </w:r>
    </w:p>
    <w:p w14:paraId="721601F9" w14:textId="5C92558B" w:rsidR="00367DD9" w:rsidRPr="00D156A5" w:rsidRDefault="00D156A5" w:rsidP="00D156A5">
      <w:pPr>
        <w:jc w:val="both"/>
        <w:rPr>
          <w:lang w:val="en-GB"/>
        </w:rPr>
      </w:pPr>
      <w:r w:rsidRPr="00D156A5">
        <w:rPr>
          <w:lang w:val="en-GB"/>
        </w:rPr>
        <w:t xml:space="preserve">The social dimension is </w:t>
      </w:r>
      <w:r>
        <w:rPr>
          <w:lang w:val="en-GB"/>
        </w:rPr>
        <w:t xml:space="preserve">also </w:t>
      </w:r>
      <w:r w:rsidRPr="00D156A5">
        <w:rPr>
          <w:lang w:val="en-GB"/>
        </w:rPr>
        <w:t>most often left aside, in particular the question of equity</w:t>
      </w:r>
      <w:r>
        <w:rPr>
          <w:lang w:val="en-GB"/>
        </w:rPr>
        <w:t xml:space="preserve">, in particular because of the significant costs induced by setting up a </w:t>
      </w:r>
      <w:r>
        <w:rPr>
          <w:lang w:val="en-US"/>
        </w:rPr>
        <w:t xml:space="preserve">Geographical Indication </w:t>
      </w:r>
      <w:r w:rsidR="005231B1">
        <w:rPr>
          <w:lang w:val="en-US"/>
        </w:rPr>
        <w:t>in terms of</w:t>
      </w:r>
      <w:r w:rsidR="00367DD9">
        <w:rPr>
          <w:lang w:val="en-US"/>
        </w:rPr>
        <w:t>:</w:t>
      </w:r>
    </w:p>
    <w:p w14:paraId="4D18D76B" w14:textId="144FFBEC" w:rsidR="001F5A63" w:rsidRPr="001F5A63" w:rsidRDefault="001F5A63" w:rsidP="001F5A63">
      <w:pPr>
        <w:pStyle w:val="Paragraphedeliste"/>
        <w:numPr>
          <w:ilvl w:val="0"/>
          <w:numId w:val="3"/>
        </w:numPr>
        <w:rPr>
          <w:lang w:val="en-US"/>
        </w:rPr>
      </w:pPr>
      <w:r>
        <w:rPr>
          <w:lang w:val="en-US"/>
        </w:rPr>
        <w:t>Institutional capacity building for the governing bodies and structures (e.g. the committee that decides the rules of functioning, monitoring mechanisms, etc.)</w:t>
      </w:r>
      <w:r w:rsidR="005231E0">
        <w:rPr>
          <w:lang w:val="en-US"/>
        </w:rPr>
        <w:t>.</w:t>
      </w:r>
    </w:p>
    <w:p w14:paraId="1271365A" w14:textId="18BE4908" w:rsidR="001F5A63" w:rsidRPr="001F5A63" w:rsidRDefault="001F5A63" w:rsidP="001F5A63">
      <w:pPr>
        <w:pStyle w:val="Paragraphedeliste"/>
        <w:numPr>
          <w:ilvl w:val="0"/>
          <w:numId w:val="3"/>
        </w:numPr>
        <w:rPr>
          <w:lang w:val="en-US"/>
        </w:rPr>
      </w:pPr>
      <w:r>
        <w:rPr>
          <w:lang w:val="en-US"/>
        </w:rPr>
        <w:t xml:space="preserve">Technical upgrading for adapting to the established </w:t>
      </w:r>
      <w:r w:rsidR="007F4793">
        <w:rPr>
          <w:lang w:val="en-US"/>
        </w:rPr>
        <w:t>code of practices</w:t>
      </w:r>
      <w:r>
        <w:rPr>
          <w:lang w:val="en-US"/>
        </w:rPr>
        <w:t xml:space="preserve"> </w:t>
      </w:r>
      <w:proofErr w:type="gramStart"/>
      <w:r>
        <w:rPr>
          <w:lang w:val="en-US"/>
        </w:rPr>
        <w:t xml:space="preserve">( </w:t>
      </w:r>
      <w:r w:rsidR="005231E0">
        <w:rPr>
          <w:lang w:val="en-US"/>
        </w:rPr>
        <w:t>e.g.</w:t>
      </w:r>
      <w:proofErr w:type="gramEnd"/>
      <w:r w:rsidR="005231E0">
        <w:rPr>
          <w:lang w:val="en-US"/>
        </w:rPr>
        <w:t xml:space="preserve"> outside breeding instead of forage) </w:t>
      </w:r>
      <w:r w:rsidR="007F4793">
        <w:rPr>
          <w:lang w:val="en-US"/>
        </w:rPr>
        <w:t>.</w:t>
      </w:r>
    </w:p>
    <w:p w14:paraId="621F4805" w14:textId="0477D88D" w:rsidR="005231E0" w:rsidRDefault="00CE0744" w:rsidP="004F112D">
      <w:pPr>
        <w:pStyle w:val="Paragraphedeliste"/>
        <w:numPr>
          <w:ilvl w:val="0"/>
          <w:numId w:val="3"/>
        </w:numPr>
        <w:rPr>
          <w:lang w:val="en-US"/>
        </w:rPr>
      </w:pPr>
      <w:r>
        <w:rPr>
          <w:lang w:val="en-US"/>
        </w:rPr>
        <w:t xml:space="preserve">Legally protecting the </w:t>
      </w:r>
      <w:r w:rsidR="005231E0" w:rsidRPr="005231E0">
        <w:rPr>
          <w:lang w:val="en-US"/>
        </w:rPr>
        <w:t>G</w:t>
      </w:r>
      <w:r>
        <w:rPr>
          <w:lang w:val="en-US"/>
        </w:rPr>
        <w:t>I</w:t>
      </w:r>
      <w:r w:rsidR="005231E0" w:rsidRPr="005231E0">
        <w:rPr>
          <w:lang w:val="en-US"/>
        </w:rPr>
        <w:t xml:space="preserve"> from </w:t>
      </w:r>
      <w:r w:rsidR="005231E0">
        <w:rPr>
          <w:lang w:val="en-US"/>
        </w:rPr>
        <w:t>forgeries.</w:t>
      </w:r>
    </w:p>
    <w:p w14:paraId="17D2EE60" w14:textId="4E0B978A" w:rsidR="00E05B95" w:rsidRPr="005231E0" w:rsidRDefault="00D156A5" w:rsidP="005231E0">
      <w:pPr>
        <w:rPr>
          <w:lang w:val="en-US"/>
        </w:rPr>
      </w:pPr>
      <w:r>
        <w:rPr>
          <w:lang w:val="en-US"/>
        </w:rPr>
        <w:t>Below</w:t>
      </w:r>
      <w:r w:rsidR="00E05B95" w:rsidRPr="005231E0">
        <w:rPr>
          <w:lang w:val="en-US"/>
        </w:rPr>
        <w:t xml:space="preserve"> is a list of benefits and costs</w:t>
      </w:r>
      <w:r w:rsidR="005231B1" w:rsidRPr="005231E0">
        <w:rPr>
          <w:lang w:val="en-US"/>
        </w:rPr>
        <w:t xml:space="preserve"> compiled by </w:t>
      </w:r>
      <w:r w:rsidR="00E05B95" w:rsidRPr="005231E0">
        <w:rPr>
          <w:lang w:val="en-US"/>
        </w:rPr>
        <w:t>FAO</w:t>
      </w:r>
      <w:r w:rsidR="005231E0">
        <w:rPr>
          <w:lang w:val="en-US"/>
        </w:rPr>
        <w:t xml:space="preserve"> GIs’ guide</w:t>
      </w:r>
      <w:r w:rsidR="005231B1" w:rsidRPr="005231E0">
        <w:rPr>
          <w:lang w:val="en-US"/>
        </w:rPr>
        <w:t>:</w:t>
      </w:r>
      <w:r w:rsidR="00E05B95" w:rsidRPr="005231E0">
        <w:rPr>
          <w:lang w:val="en-US"/>
        </w:rPr>
        <w:t xml:space="preserve"> </w:t>
      </w:r>
    </w:p>
    <w:p w14:paraId="120F8A55" w14:textId="677D3C93" w:rsidR="00E05B95" w:rsidRPr="00B103A8" w:rsidRDefault="001F5A63" w:rsidP="00D156A5">
      <w:pPr>
        <w:jc w:val="center"/>
        <w:rPr>
          <w:noProof/>
          <w:lang w:val="en-US" w:eastAsia="fr-FR"/>
        </w:rPr>
      </w:pPr>
      <w:r>
        <w:rPr>
          <w:noProof/>
          <w:lang w:eastAsia="fr-FR"/>
        </w:rPr>
        <w:drawing>
          <wp:inline distT="0" distB="0" distL="0" distR="0" wp14:anchorId="74D5F7FB" wp14:editId="4F974ECB">
            <wp:extent cx="3318677" cy="31469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1028" t="15589" r="11359" b="16124"/>
                    <a:stretch/>
                  </pic:blipFill>
                  <pic:spPr bwMode="auto">
                    <a:xfrm>
                      <a:off x="0" y="0"/>
                      <a:ext cx="3318677" cy="3146961"/>
                    </a:xfrm>
                    <a:prstGeom prst="rect">
                      <a:avLst/>
                    </a:prstGeom>
                    <a:ln>
                      <a:noFill/>
                    </a:ln>
                    <a:extLst>
                      <a:ext uri="{53640926-AAD7-44D8-BBD7-CCE9431645EC}">
                        <a14:shadowObscured xmlns:a14="http://schemas.microsoft.com/office/drawing/2010/main"/>
                      </a:ext>
                    </a:extLst>
                  </pic:spPr>
                </pic:pic>
              </a:graphicData>
            </a:graphic>
          </wp:inline>
        </w:drawing>
      </w:r>
    </w:p>
    <w:p w14:paraId="312C1890" w14:textId="77777777" w:rsidR="00267341" w:rsidRDefault="00267341" w:rsidP="005231E0">
      <w:pPr>
        <w:jc w:val="both"/>
        <w:rPr>
          <w:lang w:val="en-US"/>
        </w:rPr>
      </w:pPr>
    </w:p>
    <w:p w14:paraId="2311A56C" w14:textId="77777777" w:rsidR="00267341" w:rsidRDefault="00E05B95" w:rsidP="005231E0">
      <w:pPr>
        <w:jc w:val="both"/>
        <w:rPr>
          <w:lang w:val="en-US"/>
        </w:rPr>
      </w:pPr>
      <w:r>
        <w:rPr>
          <w:lang w:val="en-US"/>
        </w:rPr>
        <w:t xml:space="preserve">This </w:t>
      </w:r>
      <w:r w:rsidR="00901817">
        <w:rPr>
          <w:lang w:val="en-US"/>
        </w:rPr>
        <w:t>list</w:t>
      </w:r>
      <w:r>
        <w:rPr>
          <w:lang w:val="en-US"/>
        </w:rPr>
        <w:t xml:space="preserve"> of costs</w:t>
      </w:r>
      <w:r w:rsidR="005231B1">
        <w:rPr>
          <w:lang w:val="en-US"/>
        </w:rPr>
        <w:t xml:space="preserve"> and benefits</w:t>
      </w:r>
      <w:r>
        <w:rPr>
          <w:lang w:val="en-US"/>
        </w:rPr>
        <w:t xml:space="preserve"> suggests that </w:t>
      </w:r>
      <w:r w:rsidR="005231E0">
        <w:rPr>
          <w:lang w:val="en-US"/>
        </w:rPr>
        <w:t xml:space="preserve">setting up a </w:t>
      </w:r>
      <w:r w:rsidR="005231B1">
        <w:rPr>
          <w:lang w:val="en-US"/>
        </w:rPr>
        <w:t>G</w:t>
      </w:r>
      <w:r w:rsidR="005231E0">
        <w:rPr>
          <w:lang w:val="en-US"/>
        </w:rPr>
        <w:t>I</w:t>
      </w:r>
      <w:r w:rsidR="005231B1">
        <w:rPr>
          <w:lang w:val="en-US"/>
        </w:rPr>
        <w:t xml:space="preserve"> is a complex effort and that </w:t>
      </w:r>
      <w:r>
        <w:rPr>
          <w:lang w:val="en-US"/>
        </w:rPr>
        <w:t>no</w:t>
      </w:r>
      <w:r w:rsidR="00B4538C">
        <w:rPr>
          <w:lang w:val="en-US"/>
        </w:rPr>
        <w:t xml:space="preserve">t all economically </w:t>
      </w:r>
      <w:r w:rsidR="005231B1">
        <w:rPr>
          <w:lang w:val="en-US"/>
        </w:rPr>
        <w:t xml:space="preserve">feasible and </w:t>
      </w:r>
      <w:r w:rsidR="005231E0">
        <w:rPr>
          <w:lang w:val="en-US"/>
        </w:rPr>
        <w:t xml:space="preserve">successful </w:t>
      </w:r>
      <w:r w:rsidR="00B4538C">
        <w:rPr>
          <w:lang w:val="en-US"/>
        </w:rPr>
        <w:t>G</w:t>
      </w:r>
      <w:r w:rsidR="005231E0">
        <w:rPr>
          <w:lang w:val="en-US"/>
        </w:rPr>
        <w:t>I</w:t>
      </w:r>
      <w:r>
        <w:rPr>
          <w:lang w:val="en-US"/>
        </w:rPr>
        <w:t xml:space="preserve">s will result in more equity and sustainability of the value chain. </w:t>
      </w:r>
      <w:r w:rsidR="00925556">
        <w:rPr>
          <w:lang w:val="en-US"/>
        </w:rPr>
        <w:t>S</w:t>
      </w:r>
      <w:r w:rsidR="00925556">
        <w:rPr>
          <w:lang w:val="en-US"/>
        </w:rPr>
        <w:t xml:space="preserve">ometimes the rules of regulations can be too strict and exclude poor and marginalized producers, who do not have enough capital to invest in technical upgrading. This is sometimes the case of GIs developed in developing countries, in rural and marginalized areas for commodities like coffee. </w:t>
      </w:r>
    </w:p>
    <w:p w14:paraId="6342D408" w14:textId="03B71E4A" w:rsidR="00367DD9" w:rsidRDefault="00925556" w:rsidP="005231E0">
      <w:pPr>
        <w:jc w:val="both"/>
        <w:rPr>
          <w:lang w:val="en-US"/>
        </w:rPr>
      </w:pPr>
      <w:r>
        <w:rPr>
          <w:lang w:val="en-US"/>
        </w:rPr>
        <w:t>In these instances, the effort of de-commodify the product and bring more added value to the producers can actually translate into the creation of cleavages between more wealthy producers who can participate to the process and even more marginalized ones, who do not have the capacity to adapt to specific rules and requirements.</w:t>
      </w:r>
    </w:p>
    <w:p w14:paraId="6D4AB433" w14:textId="77777777" w:rsidR="00925556" w:rsidRDefault="00925556" w:rsidP="00925556">
      <w:pPr>
        <w:jc w:val="both"/>
        <w:rPr>
          <w:lang w:val="en-GB"/>
        </w:rPr>
      </w:pPr>
    </w:p>
    <w:p w14:paraId="65EFFCAA" w14:textId="77777777" w:rsidR="00925556" w:rsidRPr="00BD4CC2" w:rsidRDefault="00925556" w:rsidP="00925556">
      <w:pPr>
        <w:spacing w:after="0" w:line="264" w:lineRule="auto"/>
        <w:jc w:val="both"/>
        <w:rPr>
          <w:rFonts w:ascii="Arial" w:hAnsi="Arial" w:cs="Arial"/>
          <w:b/>
          <w:color w:val="0070C0"/>
          <w:lang w:val="en-GB"/>
        </w:rPr>
      </w:pPr>
      <w:r>
        <w:rPr>
          <w:rFonts w:ascii="Arial" w:hAnsi="Arial" w:cs="Arial"/>
          <w:b/>
          <w:color w:val="0070C0"/>
          <w:lang w:val="en-GB"/>
        </w:rPr>
        <w:t>3</w:t>
      </w:r>
      <w:r w:rsidRPr="00BD4CC2">
        <w:rPr>
          <w:rFonts w:ascii="Arial" w:hAnsi="Arial" w:cs="Arial"/>
          <w:b/>
          <w:color w:val="0070C0"/>
          <w:lang w:val="en-GB"/>
        </w:rPr>
        <w:t xml:space="preserve">. </w:t>
      </w:r>
      <w:r>
        <w:rPr>
          <w:rFonts w:ascii="Arial" w:hAnsi="Arial" w:cs="Arial"/>
          <w:b/>
          <w:color w:val="0070C0"/>
          <w:lang w:val="en-GB"/>
        </w:rPr>
        <w:t>Governance</w:t>
      </w:r>
      <w:r w:rsidRPr="00BD4CC2">
        <w:rPr>
          <w:rFonts w:ascii="Arial" w:hAnsi="Arial" w:cs="Arial"/>
          <w:b/>
          <w:color w:val="0070C0"/>
          <w:lang w:val="en-GB"/>
        </w:rPr>
        <w:tab/>
      </w:r>
    </w:p>
    <w:p w14:paraId="42BCF494" w14:textId="77777777" w:rsidR="00925556" w:rsidRDefault="00925556" w:rsidP="00925556">
      <w:pPr>
        <w:spacing w:after="0" w:line="264" w:lineRule="auto"/>
        <w:jc w:val="both"/>
        <w:rPr>
          <w:rFonts w:ascii="Arial" w:hAnsi="Arial" w:cs="Arial"/>
          <w:color w:val="0070C0"/>
          <w:lang w:val="en-GB"/>
        </w:rPr>
      </w:pPr>
    </w:p>
    <w:p w14:paraId="65FF9E0A" w14:textId="77777777" w:rsidR="00925556" w:rsidRPr="00BD4CC2" w:rsidRDefault="00925556" w:rsidP="00925556">
      <w:pPr>
        <w:spacing w:after="0" w:line="264" w:lineRule="auto"/>
        <w:jc w:val="both"/>
        <w:rPr>
          <w:rFonts w:ascii="Arial" w:hAnsi="Arial" w:cs="Arial"/>
          <w:color w:val="0070C0"/>
          <w:lang w:val="en-GB"/>
        </w:rPr>
      </w:pPr>
      <w:r>
        <w:rPr>
          <w:rFonts w:ascii="Arial" w:hAnsi="Arial" w:cs="Arial"/>
          <w:color w:val="0070C0"/>
          <w:lang w:val="en-GB"/>
        </w:rPr>
        <w:t>Participation and representativeness of actors</w:t>
      </w:r>
    </w:p>
    <w:p w14:paraId="79758992" w14:textId="77777777" w:rsidR="00925556" w:rsidRDefault="00925556" w:rsidP="00925556">
      <w:pPr>
        <w:spacing w:after="0"/>
        <w:jc w:val="both"/>
        <w:rPr>
          <w:lang w:val="en-US"/>
        </w:rPr>
      </w:pPr>
    </w:p>
    <w:p w14:paraId="7B9BAC9D" w14:textId="786665B2" w:rsidR="00925556" w:rsidRDefault="00925556" w:rsidP="00925556">
      <w:pPr>
        <w:spacing w:after="0"/>
        <w:jc w:val="both"/>
        <w:rPr>
          <w:lang w:val="en-US"/>
        </w:rPr>
      </w:pPr>
      <w:r>
        <w:rPr>
          <w:lang w:val="en-US"/>
        </w:rPr>
        <w:t xml:space="preserve">The capacity of the GI to deliver higher economic, social and environmental benefits depends very much on the specific rules governing the denomination. </w:t>
      </w:r>
    </w:p>
    <w:p w14:paraId="318FB903" w14:textId="77777777" w:rsidR="00925556" w:rsidRDefault="00925556" w:rsidP="00925556">
      <w:pPr>
        <w:spacing w:after="0"/>
        <w:jc w:val="both"/>
        <w:rPr>
          <w:lang w:val="en-US"/>
        </w:rPr>
      </w:pPr>
    </w:p>
    <w:p w14:paraId="1A5EE264" w14:textId="2EFD0C57" w:rsidR="00925556" w:rsidRDefault="00925556" w:rsidP="00925556">
      <w:pPr>
        <w:spacing w:after="0"/>
        <w:jc w:val="both"/>
        <w:rPr>
          <w:rFonts w:ascii="Arial" w:hAnsi="Arial" w:cs="Arial"/>
          <w:lang w:val="en-GB"/>
        </w:rPr>
      </w:pPr>
      <w:r>
        <w:rPr>
          <w:lang w:val="en-US"/>
        </w:rPr>
        <w:t xml:space="preserve">In some instances, these rules can be too loose and not allow for a real upgrading of quality and therefore for a limited market success. This is the case of the Cantal cheese, whose production techniques are not bonded to tradition and know-how but are rather industrial. As a </w:t>
      </w:r>
      <w:r>
        <w:rPr>
          <w:lang w:val="en-US"/>
        </w:rPr>
        <w:t>consequence,</w:t>
      </w:r>
      <w:r>
        <w:rPr>
          <w:lang w:val="en-US"/>
        </w:rPr>
        <w:t xml:space="preserve"> its market value is comparable to a non GI cheese and its social and environmental benefits are quite limited.</w:t>
      </w:r>
    </w:p>
    <w:p w14:paraId="4625681C" w14:textId="77777777" w:rsidR="00925556" w:rsidRDefault="00925556" w:rsidP="00925556">
      <w:pPr>
        <w:spacing w:after="0"/>
        <w:jc w:val="both"/>
        <w:rPr>
          <w:lang w:val="en-US"/>
        </w:rPr>
      </w:pPr>
    </w:p>
    <w:p w14:paraId="7208F8ED" w14:textId="7703DDF9" w:rsidR="00925556" w:rsidRDefault="00925556" w:rsidP="00925556">
      <w:pPr>
        <w:spacing w:after="0"/>
        <w:jc w:val="both"/>
        <w:rPr>
          <w:lang w:val="en-US"/>
        </w:rPr>
      </w:pPr>
      <w:r>
        <w:rPr>
          <w:lang w:val="en-US"/>
        </w:rPr>
        <w:t>S</w:t>
      </w:r>
      <w:r>
        <w:rPr>
          <w:lang w:val="en-US"/>
        </w:rPr>
        <w:t xml:space="preserve">ometimes few actors can capture all the economic benefits of denomination. Two such examples are the GIs Mozzarella di </w:t>
      </w:r>
      <w:proofErr w:type="spellStart"/>
      <w:r>
        <w:rPr>
          <w:lang w:val="en-US"/>
        </w:rPr>
        <w:t>Bufala</w:t>
      </w:r>
      <w:proofErr w:type="spellEnd"/>
      <w:r>
        <w:rPr>
          <w:lang w:val="en-US"/>
        </w:rPr>
        <w:t xml:space="preserve"> </w:t>
      </w:r>
      <w:proofErr w:type="spellStart"/>
      <w:r>
        <w:rPr>
          <w:lang w:val="en-US"/>
        </w:rPr>
        <w:t>Campana</w:t>
      </w:r>
      <w:proofErr w:type="spellEnd"/>
      <w:r>
        <w:rPr>
          <w:lang w:val="en-US"/>
        </w:rPr>
        <w:t xml:space="preserve"> and Tequila. Here producers of milk and agave are excluded from the GIs’ governance mechanisms and therefore upper agents of the chain (transformers) are able to capture all the increase in value added of the product, which does not trickle down to the primary producers.  </w:t>
      </w:r>
    </w:p>
    <w:p w14:paraId="6A678D12" w14:textId="77777777" w:rsidR="00267341" w:rsidRDefault="00267341" w:rsidP="00925556">
      <w:pPr>
        <w:spacing w:after="0"/>
        <w:jc w:val="both"/>
        <w:rPr>
          <w:lang w:val="en-US"/>
        </w:rPr>
      </w:pPr>
    </w:p>
    <w:p w14:paraId="4B9D4CEB" w14:textId="6C9CBFB7" w:rsidR="00925556" w:rsidRDefault="00925556" w:rsidP="00925556">
      <w:pPr>
        <w:spacing w:after="0"/>
        <w:jc w:val="both"/>
        <w:rPr>
          <w:lang w:val="en-US"/>
        </w:rPr>
      </w:pPr>
    </w:p>
    <w:p w14:paraId="77F39557" w14:textId="77777777" w:rsidR="00925556" w:rsidRPr="00BD4CC2" w:rsidRDefault="00925556" w:rsidP="00925556">
      <w:pPr>
        <w:spacing w:after="0" w:line="264" w:lineRule="auto"/>
        <w:jc w:val="both"/>
        <w:rPr>
          <w:rFonts w:ascii="Arial" w:hAnsi="Arial" w:cs="Arial"/>
          <w:color w:val="0070C0"/>
          <w:lang w:val="en-GB"/>
        </w:rPr>
      </w:pPr>
      <w:r>
        <w:rPr>
          <w:rFonts w:ascii="Arial" w:hAnsi="Arial" w:cs="Arial"/>
          <w:color w:val="0070C0"/>
          <w:lang w:val="en-GB"/>
        </w:rPr>
        <w:t>Power relations and equal voice</w:t>
      </w:r>
    </w:p>
    <w:p w14:paraId="56B50F9C" w14:textId="09C28F63" w:rsidR="00925556" w:rsidRDefault="00925556" w:rsidP="00925556">
      <w:pPr>
        <w:jc w:val="both"/>
        <w:rPr>
          <w:lang w:val="en-GB"/>
        </w:rPr>
      </w:pPr>
    </w:p>
    <w:p w14:paraId="5DA1E9FD" w14:textId="77777777" w:rsidR="00925556" w:rsidRDefault="00925556" w:rsidP="00925556">
      <w:pPr>
        <w:jc w:val="both"/>
        <w:rPr>
          <w:lang w:val="en-GB"/>
        </w:rPr>
      </w:pPr>
      <w:r>
        <w:rPr>
          <w:lang w:val="en-GB"/>
        </w:rPr>
        <w:t>The impact of</w:t>
      </w:r>
      <w:r w:rsidRPr="00925556">
        <w:rPr>
          <w:lang w:val="en-GB"/>
        </w:rPr>
        <w:t xml:space="preserve"> Geographical Indication chains</w:t>
      </w:r>
      <w:r>
        <w:rPr>
          <w:lang w:val="en-GB"/>
        </w:rPr>
        <w:t xml:space="preserve"> depends quite heavily on</w:t>
      </w:r>
      <w:r w:rsidRPr="00925556">
        <w:rPr>
          <w:lang w:val="en-GB"/>
        </w:rPr>
        <w:t xml:space="preserve"> the </w:t>
      </w:r>
      <w:r w:rsidRPr="00925556">
        <w:rPr>
          <w:lang w:val="en-GB"/>
        </w:rPr>
        <w:t xml:space="preserve">pre-existing </w:t>
      </w:r>
      <w:r w:rsidRPr="00925556">
        <w:rPr>
          <w:lang w:val="en-GB"/>
        </w:rPr>
        <w:t xml:space="preserve">relationship between </w:t>
      </w:r>
      <w:r>
        <w:rPr>
          <w:lang w:val="en-GB"/>
        </w:rPr>
        <w:t xml:space="preserve">economic </w:t>
      </w:r>
      <w:r w:rsidRPr="00925556">
        <w:rPr>
          <w:lang w:val="en-GB"/>
        </w:rPr>
        <w:t>actors in local food systems they seek to protect</w:t>
      </w:r>
      <w:r>
        <w:rPr>
          <w:lang w:val="en-GB"/>
        </w:rPr>
        <w:t>. The GI’s standard</w:t>
      </w:r>
      <w:r w:rsidRPr="00925556">
        <w:rPr>
          <w:lang w:val="en-GB"/>
        </w:rPr>
        <w:t xml:space="preserve"> specifications </w:t>
      </w:r>
      <w:r>
        <w:rPr>
          <w:lang w:val="en-GB"/>
        </w:rPr>
        <w:t xml:space="preserve">only </w:t>
      </w:r>
      <w:r w:rsidRPr="00925556">
        <w:rPr>
          <w:lang w:val="en-GB"/>
        </w:rPr>
        <w:t>exceptionally</w:t>
      </w:r>
      <w:r w:rsidRPr="00925556">
        <w:rPr>
          <w:lang w:val="en-GB"/>
        </w:rPr>
        <w:t xml:space="preserve"> change the</w:t>
      </w:r>
      <w:r>
        <w:rPr>
          <w:lang w:val="en-GB"/>
        </w:rPr>
        <w:t>se relationships</w:t>
      </w:r>
      <w:r w:rsidRPr="00925556">
        <w:rPr>
          <w:lang w:val="en-GB"/>
        </w:rPr>
        <w:t>.</w:t>
      </w:r>
    </w:p>
    <w:p w14:paraId="08038ECD" w14:textId="5B7BAE6F" w:rsidR="00925556" w:rsidRDefault="00925556" w:rsidP="00925556">
      <w:pPr>
        <w:jc w:val="both"/>
        <w:rPr>
          <w:lang w:val="en-GB"/>
        </w:rPr>
      </w:pPr>
      <w:r w:rsidRPr="00925556">
        <w:rPr>
          <w:lang w:val="en-GB"/>
        </w:rPr>
        <w:t xml:space="preserve">If </w:t>
      </w:r>
      <w:r>
        <w:rPr>
          <w:lang w:val="en-GB"/>
        </w:rPr>
        <w:t>examples</w:t>
      </w:r>
      <w:r w:rsidRPr="00925556">
        <w:rPr>
          <w:lang w:val="en-GB"/>
        </w:rPr>
        <w:t xml:space="preserve"> such as </w:t>
      </w:r>
      <w:r>
        <w:rPr>
          <w:lang w:val="en-GB"/>
        </w:rPr>
        <w:t>‘</w:t>
      </w:r>
      <w:proofErr w:type="spellStart"/>
      <w:r>
        <w:rPr>
          <w:lang w:val="en-GB"/>
        </w:rPr>
        <w:t>Comté</w:t>
      </w:r>
      <w:proofErr w:type="spellEnd"/>
      <w:r>
        <w:rPr>
          <w:lang w:val="en-GB"/>
        </w:rPr>
        <w:t>’</w:t>
      </w:r>
      <w:r w:rsidRPr="00925556">
        <w:rPr>
          <w:lang w:val="en-GB"/>
        </w:rPr>
        <w:t xml:space="preserve"> are often shown as an example of </w:t>
      </w:r>
      <w:r>
        <w:rPr>
          <w:lang w:val="en-GB"/>
        </w:rPr>
        <w:t>a good</w:t>
      </w:r>
      <w:r w:rsidRPr="00925556">
        <w:rPr>
          <w:lang w:val="en-GB"/>
        </w:rPr>
        <w:t xml:space="preserve"> balance of relations between </w:t>
      </w:r>
      <w:r>
        <w:rPr>
          <w:lang w:val="en-GB"/>
        </w:rPr>
        <w:t>the different actors in the chain</w:t>
      </w:r>
      <w:r w:rsidRPr="00925556">
        <w:rPr>
          <w:lang w:val="en-GB"/>
        </w:rPr>
        <w:t xml:space="preserve"> (producers, processors and manufacturers), others reflect </w:t>
      </w:r>
      <w:r>
        <w:rPr>
          <w:lang w:val="en-GB"/>
        </w:rPr>
        <w:t>strong asymmetries</w:t>
      </w:r>
      <w:r w:rsidRPr="00925556">
        <w:rPr>
          <w:lang w:val="en-GB"/>
        </w:rPr>
        <w:t xml:space="preserve"> in power relations, often to </w:t>
      </w:r>
      <w:r>
        <w:rPr>
          <w:lang w:val="en-GB"/>
        </w:rPr>
        <w:t xml:space="preserve">the benefit of </w:t>
      </w:r>
      <w:r w:rsidRPr="00925556">
        <w:rPr>
          <w:lang w:val="en-GB"/>
        </w:rPr>
        <w:t xml:space="preserve">manufacturers </w:t>
      </w:r>
      <w:r>
        <w:rPr>
          <w:lang w:val="en-GB"/>
        </w:rPr>
        <w:t xml:space="preserve">who </w:t>
      </w:r>
      <w:r w:rsidR="003F3A4B">
        <w:rPr>
          <w:lang w:val="en-GB"/>
        </w:rPr>
        <w:t xml:space="preserve">seek to </w:t>
      </w:r>
      <w:r w:rsidRPr="00925556">
        <w:rPr>
          <w:lang w:val="en-GB"/>
        </w:rPr>
        <w:t xml:space="preserve">increase their profits without increasing their costs. In </w:t>
      </w:r>
      <w:r w:rsidR="003F3A4B">
        <w:rPr>
          <w:lang w:val="en-GB"/>
        </w:rPr>
        <w:t>such</w:t>
      </w:r>
      <w:r w:rsidRPr="00925556">
        <w:rPr>
          <w:lang w:val="en-GB"/>
        </w:rPr>
        <w:t xml:space="preserve"> case</w:t>
      </w:r>
      <w:r w:rsidR="003F3A4B">
        <w:rPr>
          <w:lang w:val="en-GB"/>
        </w:rPr>
        <w:t>s, as illustrated in the previous point</w:t>
      </w:r>
      <w:r w:rsidRPr="00925556">
        <w:rPr>
          <w:lang w:val="en-GB"/>
        </w:rPr>
        <w:t xml:space="preserve">, the </w:t>
      </w:r>
      <w:r w:rsidR="003F3A4B">
        <w:rPr>
          <w:lang w:val="en-GB"/>
        </w:rPr>
        <w:t>products</w:t>
      </w:r>
      <w:r w:rsidRPr="00925556">
        <w:rPr>
          <w:lang w:val="en-GB"/>
        </w:rPr>
        <w:t xml:space="preserve"> are essentially industrial and standardized</w:t>
      </w:r>
      <w:r w:rsidR="003F3A4B">
        <w:rPr>
          <w:lang w:val="en-GB"/>
        </w:rPr>
        <w:t xml:space="preserve">, and the impacts of the </w:t>
      </w:r>
      <w:r w:rsidR="003F3A4B">
        <w:rPr>
          <w:lang w:val="en-GB"/>
        </w:rPr>
        <w:t xml:space="preserve">GI </w:t>
      </w:r>
      <w:r w:rsidR="003F3A4B">
        <w:rPr>
          <w:lang w:val="en-GB"/>
        </w:rPr>
        <w:t>are quite limited if existing at all.</w:t>
      </w:r>
    </w:p>
    <w:p w14:paraId="4A2305CF" w14:textId="77777777" w:rsidR="00925556" w:rsidRDefault="00925556" w:rsidP="00925556">
      <w:pPr>
        <w:jc w:val="both"/>
        <w:rPr>
          <w:lang w:val="en-GB"/>
        </w:rPr>
      </w:pPr>
    </w:p>
    <w:p w14:paraId="60901030" w14:textId="3319C9BC" w:rsidR="00925556" w:rsidRPr="00BD4CC2" w:rsidRDefault="00925556" w:rsidP="00925556">
      <w:pPr>
        <w:spacing w:after="0" w:line="264" w:lineRule="auto"/>
        <w:jc w:val="both"/>
        <w:rPr>
          <w:rFonts w:ascii="Arial" w:hAnsi="Arial" w:cs="Arial"/>
          <w:color w:val="0070C0"/>
          <w:lang w:val="en-GB"/>
        </w:rPr>
      </w:pPr>
      <w:r>
        <w:rPr>
          <w:rFonts w:ascii="Arial" w:hAnsi="Arial" w:cs="Arial"/>
          <w:color w:val="0070C0"/>
          <w:lang w:val="en-GB"/>
        </w:rPr>
        <w:t>Decision-making</w:t>
      </w:r>
    </w:p>
    <w:p w14:paraId="11C9E77E" w14:textId="77777777" w:rsidR="00925556" w:rsidRDefault="00925556" w:rsidP="00925556">
      <w:pPr>
        <w:jc w:val="both"/>
        <w:rPr>
          <w:lang w:val="en-GB"/>
        </w:rPr>
      </w:pPr>
    </w:p>
    <w:p w14:paraId="0406E2B0" w14:textId="77777777" w:rsidR="00267341" w:rsidRDefault="00267341" w:rsidP="00267341">
      <w:pPr>
        <w:jc w:val="both"/>
        <w:rPr>
          <w:lang w:val="en-US"/>
        </w:rPr>
      </w:pPr>
      <w:r>
        <w:rPr>
          <w:lang w:val="en-US"/>
        </w:rPr>
        <w:t>According to experts, the</w:t>
      </w:r>
      <w:r w:rsidRPr="00D156A5">
        <w:rPr>
          <w:lang w:val="en-US"/>
        </w:rPr>
        <w:t xml:space="preserve"> positive impacts of </w:t>
      </w:r>
      <w:r>
        <w:rPr>
          <w:lang w:val="en-US"/>
        </w:rPr>
        <w:t>Geographical Indications</w:t>
      </w:r>
      <w:r w:rsidRPr="00D156A5">
        <w:rPr>
          <w:lang w:val="en-US"/>
        </w:rPr>
        <w:t xml:space="preserve"> are closely </w:t>
      </w:r>
      <w:r>
        <w:rPr>
          <w:lang w:val="en-US"/>
        </w:rPr>
        <w:t>related</w:t>
      </w:r>
      <w:r w:rsidRPr="00D156A5">
        <w:rPr>
          <w:lang w:val="en-US"/>
        </w:rPr>
        <w:t xml:space="preserve"> to </w:t>
      </w:r>
      <w:r>
        <w:rPr>
          <w:lang w:val="en-US"/>
        </w:rPr>
        <w:t xml:space="preserve">their governance model, in particular the strength and capacity of the related </w:t>
      </w:r>
      <w:r w:rsidRPr="00D156A5">
        <w:rPr>
          <w:lang w:val="en-US"/>
        </w:rPr>
        <w:t>branch organisation</w:t>
      </w:r>
      <w:r>
        <w:rPr>
          <w:lang w:val="en-US"/>
        </w:rPr>
        <w:t>s.</w:t>
      </w:r>
    </w:p>
    <w:p w14:paraId="17331BCF" w14:textId="77777777" w:rsidR="00267341" w:rsidRDefault="00267341" w:rsidP="00267341">
      <w:pPr>
        <w:jc w:val="both"/>
        <w:rPr>
          <w:lang w:val="en-US"/>
        </w:rPr>
      </w:pPr>
      <w:r>
        <w:rPr>
          <w:lang w:val="en-US"/>
        </w:rPr>
        <w:t>The Comté is once again a good illustration. The strong inter branch organization CIGC is in charge of governing the GI. Here all the decisions are taken at the unanimity of the representatives of the three categories of the value chain, regardless of their economic bargaining power. Participants say that discussions in this assembly are often conflictual but that the economic stakes behind the production of Comté are the drivers of formation of consensus.</w:t>
      </w:r>
    </w:p>
    <w:p w14:paraId="1EBE8B93" w14:textId="77777777" w:rsidR="00267341" w:rsidRPr="00D156A5" w:rsidRDefault="00267341" w:rsidP="00267341">
      <w:pPr>
        <w:jc w:val="both"/>
        <w:rPr>
          <w:lang w:val="en-US"/>
        </w:rPr>
      </w:pPr>
      <w:r w:rsidRPr="00D156A5">
        <w:rPr>
          <w:lang w:val="en-US"/>
        </w:rPr>
        <w:t>The CIGC purpose is also to guarantee the equitable distribution of the value added along the chain by the following mechanism:</w:t>
      </w:r>
    </w:p>
    <w:p w14:paraId="0EFD42CC" w14:textId="77777777" w:rsidR="00267341" w:rsidRDefault="00267341" w:rsidP="00267341">
      <w:pPr>
        <w:pStyle w:val="Paragraphedeliste"/>
        <w:numPr>
          <w:ilvl w:val="0"/>
          <w:numId w:val="20"/>
        </w:numPr>
        <w:jc w:val="both"/>
        <w:rPr>
          <w:lang w:val="en-US"/>
        </w:rPr>
      </w:pPr>
      <w:r>
        <w:rPr>
          <w:lang w:val="en-US"/>
        </w:rPr>
        <w:t>Every year the cheese ripeners communicate the price at which they have sold their cheese wheels to the inter branch organization, which calculates the national average price of Comté.</w:t>
      </w:r>
    </w:p>
    <w:p w14:paraId="24F84F06" w14:textId="77777777" w:rsidR="00267341" w:rsidRDefault="00267341" w:rsidP="00267341">
      <w:pPr>
        <w:pStyle w:val="Paragraphedeliste"/>
        <w:numPr>
          <w:ilvl w:val="0"/>
          <w:numId w:val="20"/>
        </w:numPr>
        <w:jc w:val="both"/>
        <w:rPr>
          <w:lang w:val="en-US"/>
        </w:rPr>
      </w:pPr>
      <w:r>
        <w:rPr>
          <w:lang w:val="en-US"/>
        </w:rPr>
        <w:t>The CIGC establishes framework contracts to be adopted among the value chain actors, establishing the coefficients at which the national average price has to be divided among ripeners, fresh cheese producers and milk producers.</w:t>
      </w:r>
    </w:p>
    <w:p w14:paraId="64FC5485" w14:textId="77777777" w:rsidR="00267341" w:rsidRDefault="00267341" w:rsidP="00267341">
      <w:pPr>
        <w:pStyle w:val="Paragraphedeliste"/>
        <w:numPr>
          <w:ilvl w:val="0"/>
          <w:numId w:val="20"/>
        </w:numPr>
        <w:jc w:val="both"/>
        <w:rPr>
          <w:lang w:val="en-US"/>
        </w:rPr>
      </w:pPr>
      <w:r>
        <w:rPr>
          <w:lang w:val="en-US"/>
        </w:rPr>
        <w:t>Since the system is transparent and the coefficients are decided through participatory discussions at the CIGC, the mechanism is perceived fair by all the participants.</w:t>
      </w:r>
    </w:p>
    <w:p w14:paraId="3F436D20" w14:textId="77777777" w:rsidR="00267341" w:rsidRDefault="00267341" w:rsidP="00267341">
      <w:pPr>
        <w:jc w:val="both"/>
        <w:rPr>
          <w:lang w:val="en-US"/>
        </w:rPr>
      </w:pPr>
      <w:proofErr w:type="gramStart"/>
      <w:r w:rsidRPr="00D156A5">
        <w:rPr>
          <w:lang w:val="en-US"/>
        </w:rPr>
        <w:t>Finally</w:t>
      </w:r>
      <w:proofErr w:type="gramEnd"/>
      <w:r w:rsidRPr="00D156A5">
        <w:rPr>
          <w:lang w:val="en-US"/>
        </w:rPr>
        <w:t xml:space="preserve"> the CIGC can decide to control the quantity of cheese according to </w:t>
      </w:r>
      <w:r>
        <w:rPr>
          <w:lang w:val="en-US"/>
        </w:rPr>
        <w:t>expected</w:t>
      </w:r>
      <w:r w:rsidRPr="00D156A5">
        <w:rPr>
          <w:lang w:val="en-US"/>
        </w:rPr>
        <w:t xml:space="preserve"> market demand, limiting the exposition of cheese producers to market fluctuations.</w:t>
      </w:r>
      <w:r>
        <w:rPr>
          <w:lang w:val="en-US"/>
        </w:rPr>
        <w:t xml:space="preserve"> </w:t>
      </w:r>
    </w:p>
    <w:p w14:paraId="18BE334D" w14:textId="77777777" w:rsidR="00267341" w:rsidRPr="00D156A5" w:rsidRDefault="00267341" w:rsidP="00267341">
      <w:pPr>
        <w:jc w:val="both"/>
        <w:rPr>
          <w:lang w:val="en-US"/>
        </w:rPr>
      </w:pPr>
      <w:r w:rsidRPr="00D156A5">
        <w:rPr>
          <w:lang w:val="en-US"/>
        </w:rPr>
        <w:t>Economic issues thus appear to be the ‘engine of consensus building’ within the General Assembly of ‘Comté’, enabling the sector to overcome the sometimes conflictual discussions between stakeholders and therefore ensure the long term sustainability of the sector.</w:t>
      </w:r>
    </w:p>
    <w:p w14:paraId="06697FE4" w14:textId="7D4137E2" w:rsidR="00B81EDD" w:rsidRPr="00267341" w:rsidRDefault="00B81EDD" w:rsidP="00925556">
      <w:pPr>
        <w:rPr>
          <w:lang w:val="en-US"/>
        </w:rPr>
      </w:pPr>
    </w:p>
    <w:p w14:paraId="4A09E36B" w14:textId="77777777" w:rsidR="00925556" w:rsidRPr="00B81EDD" w:rsidRDefault="00925556" w:rsidP="00B81EDD">
      <w:pPr>
        <w:ind w:left="1080"/>
        <w:rPr>
          <w:lang w:val="en-US"/>
        </w:rPr>
      </w:pPr>
    </w:p>
    <w:p w14:paraId="7AC1FAA0" w14:textId="77777777" w:rsidR="00AC096A" w:rsidRPr="00B81EDD" w:rsidRDefault="00AC096A" w:rsidP="00AC096A">
      <w:pPr>
        <w:rPr>
          <w:b/>
          <w:u w:val="single"/>
          <w:lang w:val="en-US"/>
        </w:rPr>
      </w:pPr>
    </w:p>
    <w:p w14:paraId="718259CD" w14:textId="77777777" w:rsidR="00267341" w:rsidRDefault="00267341">
      <w:pPr>
        <w:rPr>
          <w:b/>
          <w:u w:val="single"/>
          <w:lang w:val="en-US"/>
        </w:rPr>
      </w:pPr>
      <w:r>
        <w:rPr>
          <w:b/>
          <w:u w:val="single"/>
          <w:lang w:val="en-US"/>
        </w:rPr>
        <w:br w:type="page"/>
      </w:r>
    </w:p>
    <w:p w14:paraId="7EB8C954" w14:textId="219BCFDF" w:rsidR="00AC096A" w:rsidRPr="00AC096A" w:rsidRDefault="00AC096A" w:rsidP="00AC096A">
      <w:pPr>
        <w:rPr>
          <w:b/>
          <w:u w:val="single"/>
          <w:lang w:val="en-US"/>
        </w:rPr>
      </w:pPr>
      <w:bookmarkStart w:id="0" w:name="_GoBack"/>
      <w:bookmarkEnd w:id="0"/>
      <w:r w:rsidRPr="00AC096A">
        <w:rPr>
          <w:b/>
          <w:u w:val="single"/>
          <w:lang w:val="en-US"/>
        </w:rPr>
        <w:t>Bibliography</w:t>
      </w:r>
    </w:p>
    <w:p w14:paraId="12108970" w14:textId="77777777" w:rsidR="00AC096A" w:rsidRDefault="00AC096A" w:rsidP="00AC096A">
      <w:pPr>
        <w:rPr>
          <w:lang w:val="en-US"/>
        </w:rPr>
      </w:pPr>
      <w:proofErr w:type="spellStart"/>
      <w:r>
        <w:rPr>
          <w:lang w:val="en-US"/>
        </w:rPr>
        <w:t>Giovannucci</w:t>
      </w:r>
      <w:proofErr w:type="spellEnd"/>
      <w:r>
        <w:rPr>
          <w:lang w:val="en-US"/>
        </w:rPr>
        <w:t xml:space="preserve"> Daniele, Tim </w:t>
      </w:r>
      <w:proofErr w:type="spellStart"/>
      <w:r>
        <w:rPr>
          <w:lang w:val="en-US"/>
        </w:rPr>
        <w:t>Josling</w:t>
      </w:r>
      <w:proofErr w:type="spellEnd"/>
      <w:r>
        <w:rPr>
          <w:lang w:val="en-US"/>
        </w:rPr>
        <w:t xml:space="preserve">, William Kerr, Bernard </w:t>
      </w:r>
      <w:proofErr w:type="gramStart"/>
      <w:r>
        <w:rPr>
          <w:lang w:val="en-US"/>
        </w:rPr>
        <w:t>O’Connor ,</w:t>
      </w:r>
      <w:proofErr w:type="gramEnd"/>
      <w:r w:rsidRPr="00AC096A">
        <w:rPr>
          <w:lang w:val="en-US"/>
        </w:rPr>
        <w:t xml:space="preserve"> May T. Yeung</w:t>
      </w:r>
      <w:r>
        <w:rPr>
          <w:lang w:val="en-US"/>
        </w:rPr>
        <w:t xml:space="preserve"> (2009)</w:t>
      </w:r>
      <w:r w:rsidRPr="00AC096A">
        <w:rPr>
          <w:lang w:val="en-US"/>
        </w:rPr>
        <w:t xml:space="preserve"> </w:t>
      </w:r>
      <w:r>
        <w:rPr>
          <w:lang w:val="en-US"/>
        </w:rPr>
        <w:t>“</w:t>
      </w:r>
      <w:r w:rsidRPr="00AC096A">
        <w:rPr>
          <w:lang w:val="en-US"/>
        </w:rPr>
        <w:t>Guide to geographical indications</w:t>
      </w:r>
      <w:r>
        <w:rPr>
          <w:lang w:val="en-US"/>
        </w:rPr>
        <w:t>. L</w:t>
      </w:r>
      <w:r w:rsidRPr="00AC096A">
        <w:rPr>
          <w:lang w:val="en-US"/>
        </w:rPr>
        <w:t>inking products and their origins”</w:t>
      </w:r>
      <w:r>
        <w:rPr>
          <w:lang w:val="en-US"/>
        </w:rPr>
        <w:t>, International Trade Center.</w:t>
      </w:r>
    </w:p>
    <w:p w14:paraId="1F755326" w14:textId="77777777" w:rsidR="0037750D" w:rsidRDefault="0037750D" w:rsidP="00AC096A">
      <w:pPr>
        <w:rPr>
          <w:rFonts w:ascii="Arial" w:hAnsi="Arial" w:cs="Arial"/>
          <w:color w:val="000000"/>
          <w:sz w:val="20"/>
          <w:szCs w:val="20"/>
          <w:lang w:val="en-US"/>
        </w:rPr>
      </w:pPr>
      <w:proofErr w:type="spellStart"/>
      <w:r w:rsidRPr="0037750D">
        <w:rPr>
          <w:rFonts w:ascii="Arial" w:hAnsi="Arial" w:cs="Arial"/>
          <w:color w:val="000000"/>
          <w:sz w:val="20"/>
          <w:szCs w:val="20"/>
          <w:lang w:val="en-US"/>
        </w:rPr>
        <w:t>Barjolle</w:t>
      </w:r>
      <w:proofErr w:type="spellEnd"/>
      <w:r>
        <w:rPr>
          <w:rFonts w:ascii="Arial" w:hAnsi="Arial" w:cs="Arial"/>
          <w:color w:val="000000"/>
          <w:sz w:val="20"/>
          <w:szCs w:val="20"/>
          <w:lang w:val="en-US"/>
        </w:rPr>
        <w:t xml:space="preserve"> B., </w:t>
      </w:r>
      <w:proofErr w:type="spellStart"/>
      <w:r>
        <w:rPr>
          <w:rFonts w:ascii="Arial" w:hAnsi="Arial" w:cs="Arial"/>
          <w:color w:val="000000"/>
          <w:sz w:val="20"/>
          <w:szCs w:val="20"/>
          <w:lang w:val="en-US"/>
        </w:rPr>
        <w:t>S</w:t>
      </w:r>
      <w:r w:rsidRPr="0037750D">
        <w:rPr>
          <w:rFonts w:ascii="Arial" w:hAnsi="Arial" w:cs="Arial"/>
          <w:color w:val="000000"/>
          <w:sz w:val="20"/>
          <w:szCs w:val="20"/>
          <w:lang w:val="en-US"/>
        </w:rPr>
        <w:t>ylvander</w:t>
      </w:r>
      <w:proofErr w:type="spellEnd"/>
      <w:r w:rsidRPr="0037750D">
        <w:rPr>
          <w:rFonts w:ascii="Arial" w:hAnsi="Arial" w:cs="Arial"/>
          <w:color w:val="000000"/>
          <w:sz w:val="20"/>
          <w:szCs w:val="20"/>
          <w:lang w:val="en-US"/>
        </w:rPr>
        <w:t xml:space="preserve"> </w:t>
      </w:r>
      <w:r>
        <w:rPr>
          <w:rFonts w:ascii="Arial" w:hAnsi="Arial" w:cs="Arial"/>
          <w:color w:val="000000"/>
          <w:sz w:val="20"/>
          <w:szCs w:val="20"/>
          <w:lang w:val="en-US"/>
        </w:rPr>
        <w:t>B., (2000) “</w:t>
      </w:r>
      <w:hyperlink r:id="rId10" w:history="1">
        <w:r w:rsidRPr="0037750D">
          <w:rPr>
            <w:lang w:val="en-US"/>
          </w:rPr>
          <w:t>Some factors of success for origin supply chains in Europe : market, inte</w:t>
        </w:r>
        <w:r>
          <w:rPr>
            <w:lang w:val="en-US"/>
          </w:rPr>
          <w:t>rnal resources and institutions”</w:t>
        </w:r>
        <w:r w:rsidRPr="0037750D">
          <w:rPr>
            <w:lang w:val="en-US"/>
          </w:rPr>
          <w:t xml:space="preserve">, in </w:t>
        </w:r>
        <w:proofErr w:type="spellStart"/>
        <w:r w:rsidRPr="0037750D">
          <w:rPr>
            <w:lang w:val="en-US"/>
          </w:rPr>
          <w:t>Sylvander</w:t>
        </w:r>
        <w:proofErr w:type="spellEnd"/>
        <w:r w:rsidRPr="0037750D">
          <w:rPr>
            <w:lang w:val="en-US"/>
          </w:rPr>
          <w:t xml:space="preserve"> B., </w:t>
        </w:r>
        <w:proofErr w:type="spellStart"/>
        <w:r w:rsidRPr="0037750D">
          <w:rPr>
            <w:lang w:val="en-US"/>
          </w:rPr>
          <w:t>Barjolle</w:t>
        </w:r>
        <w:proofErr w:type="spellEnd"/>
        <w:r w:rsidRPr="0037750D">
          <w:rPr>
            <w:lang w:val="en-US"/>
          </w:rPr>
          <w:t xml:space="preserve"> D. and </w:t>
        </w:r>
        <w:proofErr w:type="spellStart"/>
        <w:r w:rsidRPr="0037750D">
          <w:rPr>
            <w:lang w:val="en-US"/>
          </w:rPr>
          <w:t>Arfini</w:t>
        </w:r>
        <w:proofErr w:type="spellEnd"/>
        <w:r w:rsidRPr="0037750D">
          <w:rPr>
            <w:lang w:val="en-US"/>
          </w:rPr>
          <w:t xml:space="preserve"> F</w:t>
        </w:r>
      </w:hyperlink>
      <w:r>
        <w:rPr>
          <w:lang w:val="en-US"/>
        </w:rPr>
        <w:t xml:space="preserve"> (eds.) –The socioeconomics of origin labeled products in agro-food supply chains: spatial, institutional and coordination aspects, INRA </w:t>
      </w:r>
      <w:proofErr w:type="spellStart"/>
      <w:r>
        <w:rPr>
          <w:lang w:val="en-US"/>
        </w:rPr>
        <w:t>Actes</w:t>
      </w:r>
      <w:proofErr w:type="spellEnd"/>
      <w:r>
        <w:rPr>
          <w:lang w:val="en-US"/>
        </w:rPr>
        <w:t xml:space="preserve"> et Communications, n.17/1, </w:t>
      </w:r>
      <w:r w:rsidRPr="0037750D">
        <w:rPr>
          <w:rFonts w:ascii="Arial" w:hAnsi="Arial" w:cs="Arial"/>
          <w:color w:val="000000"/>
          <w:sz w:val="20"/>
          <w:szCs w:val="20"/>
          <w:lang w:val="en-US"/>
        </w:rPr>
        <w:t>2000</w:t>
      </w:r>
    </w:p>
    <w:p w14:paraId="73039AE3" w14:textId="77777777" w:rsidR="001A574F" w:rsidRPr="001A574F" w:rsidRDefault="001A574F" w:rsidP="001A574F">
      <w:pPr>
        <w:rPr>
          <w:rFonts w:ascii="GillSans" w:hAnsi="GillSans" w:cs="GillSans"/>
          <w:sz w:val="21"/>
          <w:szCs w:val="21"/>
          <w:lang w:val="en-US"/>
        </w:rPr>
      </w:pPr>
      <w:r w:rsidRPr="001A574F">
        <w:rPr>
          <w:rFonts w:ascii="GillSans" w:hAnsi="GillSans" w:cs="GillSans"/>
          <w:sz w:val="21"/>
          <w:szCs w:val="21"/>
          <w:lang w:val="en-US"/>
        </w:rPr>
        <w:t xml:space="preserve">Xiomara F. </w:t>
      </w:r>
      <w:proofErr w:type="spellStart"/>
      <w:r w:rsidRPr="001A574F">
        <w:rPr>
          <w:rFonts w:ascii="GillSans" w:hAnsi="GillSans" w:cs="GillSans"/>
          <w:sz w:val="21"/>
          <w:szCs w:val="21"/>
          <w:lang w:val="en-US"/>
        </w:rPr>
        <w:t>Quiñones</w:t>
      </w:r>
      <w:proofErr w:type="spellEnd"/>
      <w:r w:rsidRPr="001A574F">
        <w:rPr>
          <w:rFonts w:ascii="GillSans" w:hAnsi="GillSans" w:cs="GillSans"/>
          <w:sz w:val="21"/>
          <w:szCs w:val="21"/>
          <w:lang w:val="en-US"/>
        </w:rPr>
        <w:t>-Ruiz et al. 2015 “Can origin labels re-shape relationships along international supply chains?</w:t>
      </w:r>
      <w:r>
        <w:rPr>
          <w:rFonts w:ascii="GillSans" w:hAnsi="GillSans" w:cs="GillSans"/>
          <w:sz w:val="21"/>
          <w:szCs w:val="21"/>
          <w:lang w:val="en-US"/>
        </w:rPr>
        <w:t xml:space="preserve">” </w:t>
      </w:r>
      <w:r w:rsidRPr="001A574F">
        <w:rPr>
          <w:rFonts w:ascii="GillSans" w:hAnsi="GillSans" w:cs="GillSans"/>
          <w:sz w:val="21"/>
          <w:szCs w:val="21"/>
          <w:lang w:val="en-US"/>
        </w:rPr>
        <w:t>Inter</w:t>
      </w:r>
      <w:r>
        <w:rPr>
          <w:rFonts w:ascii="GillSans" w:hAnsi="GillSans" w:cs="GillSans"/>
          <w:sz w:val="21"/>
          <w:szCs w:val="21"/>
          <w:lang w:val="en-US"/>
        </w:rPr>
        <w:t xml:space="preserve">national Journal of the Commons </w:t>
      </w:r>
      <w:r w:rsidRPr="001A574F">
        <w:rPr>
          <w:rFonts w:ascii="GillSans" w:hAnsi="GillSans" w:cs="GillSans"/>
          <w:sz w:val="21"/>
          <w:szCs w:val="21"/>
          <w:lang w:val="en-US"/>
        </w:rPr>
        <w:t xml:space="preserve">Vol. </w:t>
      </w:r>
      <w:r>
        <w:rPr>
          <w:rFonts w:ascii="GillSans" w:hAnsi="GillSans" w:cs="GillSans"/>
          <w:sz w:val="21"/>
          <w:szCs w:val="21"/>
          <w:lang w:val="en-US"/>
        </w:rPr>
        <w:t xml:space="preserve">9, no 1 March 2015, pp. 416–439 </w:t>
      </w:r>
      <w:r w:rsidRPr="001A574F">
        <w:rPr>
          <w:rFonts w:ascii="GillSans" w:hAnsi="GillSans" w:cs="GillSans"/>
          <w:sz w:val="21"/>
          <w:szCs w:val="21"/>
          <w:lang w:val="en-US"/>
        </w:rPr>
        <w:t xml:space="preserve">Publisher: </w:t>
      </w:r>
      <w:proofErr w:type="spellStart"/>
      <w:r w:rsidRPr="001A574F">
        <w:rPr>
          <w:rFonts w:ascii="GillSans" w:hAnsi="GillSans" w:cs="GillSans"/>
          <w:sz w:val="21"/>
          <w:szCs w:val="21"/>
          <w:lang w:val="en-US"/>
        </w:rPr>
        <w:t>Uopen</w:t>
      </w:r>
      <w:proofErr w:type="spellEnd"/>
      <w:r w:rsidRPr="001A574F">
        <w:rPr>
          <w:rFonts w:ascii="GillSans" w:hAnsi="GillSans" w:cs="GillSans"/>
          <w:sz w:val="21"/>
          <w:szCs w:val="21"/>
          <w:lang w:val="en-US"/>
        </w:rPr>
        <w:t xml:space="preserve"> Journals</w:t>
      </w:r>
    </w:p>
    <w:p w14:paraId="6C59FE9B" w14:textId="77777777" w:rsidR="00AC096A" w:rsidRPr="005F625C" w:rsidRDefault="00AC096A" w:rsidP="00AC096A">
      <w:pPr>
        <w:rPr>
          <w:u w:val="single"/>
        </w:rPr>
      </w:pPr>
      <w:r w:rsidRPr="005F625C">
        <w:rPr>
          <w:u w:val="single"/>
        </w:rPr>
        <w:t>SYAL</w:t>
      </w:r>
    </w:p>
    <w:p w14:paraId="53898229" w14:textId="77777777" w:rsidR="00AC096A" w:rsidRDefault="00AC096A" w:rsidP="00AC096A">
      <w:pPr>
        <w:rPr>
          <w:rStyle w:val="apple-converted-space"/>
          <w:rFonts w:ascii="Arial" w:hAnsi="Arial" w:cs="Arial"/>
          <w:color w:val="000000"/>
          <w:sz w:val="20"/>
          <w:szCs w:val="20"/>
        </w:rPr>
      </w:pPr>
      <w:r w:rsidRPr="00901817">
        <w:rPr>
          <w:rFonts w:ascii="Arial" w:hAnsi="Arial" w:cs="Arial"/>
          <w:color w:val="000000"/>
          <w:sz w:val="20"/>
          <w:szCs w:val="20"/>
          <w:lang w:val="en-US"/>
        </w:rPr>
        <w:t xml:space="preserve">Fournier, S., </w:t>
      </w:r>
      <w:proofErr w:type="spellStart"/>
      <w:r w:rsidRPr="00901817">
        <w:rPr>
          <w:rFonts w:ascii="Arial" w:hAnsi="Arial" w:cs="Arial"/>
          <w:color w:val="000000"/>
          <w:sz w:val="20"/>
          <w:szCs w:val="20"/>
          <w:lang w:val="en-US"/>
        </w:rPr>
        <w:t>Champredonde</w:t>
      </w:r>
      <w:proofErr w:type="spellEnd"/>
      <w:r w:rsidRPr="00901817">
        <w:rPr>
          <w:rFonts w:ascii="Arial" w:hAnsi="Arial" w:cs="Arial"/>
          <w:color w:val="000000"/>
          <w:sz w:val="20"/>
          <w:szCs w:val="20"/>
          <w:lang w:val="en-US"/>
        </w:rPr>
        <w:t xml:space="preserve">, M. (2014). . </w:t>
      </w:r>
      <w:proofErr w:type="spellStart"/>
      <w:r w:rsidRPr="00AC096A">
        <w:rPr>
          <w:rFonts w:ascii="Arial" w:hAnsi="Arial" w:cs="Arial"/>
          <w:color w:val="000000"/>
          <w:sz w:val="20"/>
          <w:szCs w:val="20"/>
          <w:lang w:val="en-US"/>
        </w:rPr>
        <w:t>Agri</w:t>
      </w:r>
      <w:proofErr w:type="spellEnd"/>
      <w:r w:rsidRPr="00AC096A">
        <w:rPr>
          <w:rFonts w:ascii="Arial" w:hAnsi="Arial" w:cs="Arial"/>
          <w:color w:val="000000"/>
          <w:sz w:val="20"/>
          <w:szCs w:val="20"/>
          <w:lang w:val="en-US"/>
        </w:rPr>
        <w:t xml:space="preserve">-food, innovation and sustainable development. </w:t>
      </w:r>
      <w:proofErr w:type="gramStart"/>
      <w:r>
        <w:rPr>
          <w:rFonts w:ascii="Arial" w:hAnsi="Arial" w:cs="Arial"/>
          <w:color w:val="000000"/>
          <w:sz w:val="20"/>
          <w:szCs w:val="20"/>
        </w:rPr>
        <w:t>In:</w:t>
      </w:r>
      <w:proofErr w:type="gramEnd"/>
      <w:r>
        <w:rPr>
          <w:rFonts w:ascii="Arial" w:hAnsi="Arial" w:cs="Arial"/>
          <w:color w:val="000000"/>
          <w:sz w:val="20"/>
          <w:szCs w:val="20"/>
        </w:rPr>
        <w:t xml:space="preserve"> Jean-Yves </w:t>
      </w:r>
      <w:proofErr w:type="spellStart"/>
      <w:r>
        <w:rPr>
          <w:rFonts w:ascii="Arial" w:hAnsi="Arial" w:cs="Arial"/>
          <w:color w:val="000000"/>
          <w:sz w:val="20"/>
          <w:szCs w:val="20"/>
        </w:rPr>
        <w:t>Grosclaude</w:t>
      </w:r>
      <w:proofErr w:type="spellEnd"/>
      <w:r>
        <w:rPr>
          <w:rFonts w:ascii="Arial" w:hAnsi="Arial" w:cs="Arial"/>
          <w:color w:val="000000"/>
          <w:sz w:val="20"/>
          <w:szCs w:val="20"/>
        </w:rPr>
        <w:t xml:space="preserve">, Rajendra Kumar </w:t>
      </w:r>
      <w:proofErr w:type="spellStart"/>
      <w:r>
        <w:rPr>
          <w:rFonts w:ascii="Arial" w:hAnsi="Arial" w:cs="Arial"/>
          <w:color w:val="000000"/>
          <w:sz w:val="20"/>
          <w:szCs w:val="20"/>
        </w:rPr>
        <w:t>Pachauri</w:t>
      </w:r>
      <w:proofErr w:type="spellEnd"/>
      <w:r>
        <w:rPr>
          <w:rFonts w:ascii="Arial" w:hAnsi="Arial" w:cs="Arial"/>
          <w:color w:val="000000"/>
          <w:sz w:val="20"/>
          <w:szCs w:val="20"/>
        </w:rPr>
        <w:t xml:space="preserve">, Laurence Tubiana, </w:t>
      </w:r>
      <w:proofErr w:type="spellStart"/>
      <w:r>
        <w:rPr>
          <w:rFonts w:ascii="Arial" w:hAnsi="Arial" w:cs="Arial"/>
          <w:color w:val="000000"/>
          <w:sz w:val="20"/>
          <w:szCs w:val="20"/>
        </w:rPr>
        <w:t>dir</w:t>
      </w:r>
      <w:proofErr w:type="spellEnd"/>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 xml:space="preserve">Innovation for </w:t>
      </w:r>
      <w:proofErr w:type="spellStart"/>
      <w:r>
        <w:rPr>
          <w:rFonts w:ascii="Arial" w:hAnsi="Arial" w:cs="Arial"/>
          <w:i/>
          <w:iCs/>
          <w:color w:val="000000"/>
          <w:sz w:val="20"/>
          <w:szCs w:val="20"/>
        </w:rPr>
        <w:t>Sustainable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Development</w:t>
      </w:r>
      <w:proofErr w:type="spellEnd"/>
      <w:r>
        <w:rPr>
          <w:rStyle w:val="apple-converted-space"/>
          <w:rFonts w:ascii="Arial" w:hAnsi="Arial" w:cs="Arial"/>
          <w:color w:val="000000"/>
          <w:sz w:val="20"/>
          <w:szCs w:val="20"/>
        </w:rPr>
        <w:t> </w:t>
      </w:r>
      <w:r>
        <w:rPr>
          <w:rFonts w:ascii="Arial" w:hAnsi="Arial" w:cs="Arial"/>
          <w:color w:val="000000"/>
          <w:sz w:val="20"/>
          <w:szCs w:val="20"/>
        </w:rPr>
        <w:t>(p. 101-115). Delhi, IND : Teri.</w:t>
      </w:r>
      <w:r>
        <w:rPr>
          <w:rStyle w:val="apple-converted-space"/>
          <w:rFonts w:ascii="Arial" w:hAnsi="Arial" w:cs="Arial"/>
          <w:color w:val="000000"/>
          <w:sz w:val="20"/>
          <w:szCs w:val="20"/>
        </w:rPr>
        <w:t> </w:t>
      </w:r>
    </w:p>
    <w:p w14:paraId="5D53307D" w14:textId="77777777" w:rsidR="00193B4D" w:rsidRPr="00193B4D" w:rsidRDefault="00AC096A" w:rsidP="00AC096A">
      <w:r w:rsidRPr="00AC096A">
        <w:t xml:space="preserve">F </w:t>
      </w:r>
      <w:proofErr w:type="spellStart"/>
      <w:r w:rsidRPr="00AC096A">
        <w:t>Leloup</w:t>
      </w:r>
      <w:proofErr w:type="spellEnd"/>
      <w:r w:rsidRPr="00AC096A">
        <w:t xml:space="preserve">, L </w:t>
      </w:r>
      <w:proofErr w:type="spellStart"/>
      <w:r w:rsidRPr="00AC096A">
        <w:t>Moyart</w:t>
      </w:r>
      <w:proofErr w:type="spellEnd"/>
      <w:r w:rsidRPr="00AC096A">
        <w:t>, B Pecqueur</w:t>
      </w:r>
      <w:r>
        <w:t xml:space="preserve"> (2005)  « </w:t>
      </w:r>
      <w:r w:rsidRPr="00AC096A">
        <w:t>La gouvernance territoriale comme nouveau mode de coordination territoriale?</w:t>
      </w:r>
      <w:r>
        <w:t xml:space="preserve"> » </w:t>
      </w:r>
      <w:r w:rsidRPr="00193B4D">
        <w:t>Géographie, économie, société 7 (4), 321-332</w:t>
      </w:r>
    </w:p>
    <w:p w14:paraId="5B782431" w14:textId="77777777" w:rsidR="00193B4D" w:rsidRPr="00193B4D" w:rsidRDefault="00193B4D" w:rsidP="00AC096A">
      <w:r w:rsidRPr="00193B4D">
        <w:t xml:space="preserve">Fournier S., </w:t>
      </w:r>
      <w:proofErr w:type="spellStart"/>
      <w:r w:rsidRPr="00193B4D">
        <w:t>Tuozard</w:t>
      </w:r>
      <w:proofErr w:type="spellEnd"/>
      <w:r w:rsidRPr="00193B4D">
        <w:t xml:space="preserve"> J.M., Colonna P. </w:t>
      </w:r>
      <w:r>
        <w:t xml:space="preserve">(2011) « Chapitre 4. </w:t>
      </w:r>
      <w:proofErr w:type="spellStart"/>
      <w:r>
        <w:t>Systemes</w:t>
      </w:r>
      <w:proofErr w:type="spellEnd"/>
      <w:r>
        <w:t xml:space="preserve"> Alimentaires » in </w:t>
      </w:r>
      <w:proofErr w:type="spellStart"/>
      <w:r>
        <w:t>DuaLine</w:t>
      </w:r>
      <w:proofErr w:type="spellEnd"/>
      <w:r>
        <w:t xml:space="preserve"> – Durabilité de l’alimentation face aux nouveaux enjeux. Questions à la recherche, </w:t>
      </w:r>
      <w:proofErr w:type="spellStart"/>
      <w:r>
        <w:t>Esnouf</w:t>
      </w:r>
      <w:proofErr w:type="spellEnd"/>
      <w:r>
        <w:t xml:space="preserve">, C., Russel, M. et </w:t>
      </w:r>
      <w:proofErr w:type="spellStart"/>
      <w:r>
        <w:t>Bricas</w:t>
      </w:r>
      <w:proofErr w:type="spellEnd"/>
      <w:r>
        <w:t>, N. (</w:t>
      </w:r>
      <w:proofErr w:type="spellStart"/>
      <w:r>
        <w:t>Coords</w:t>
      </w:r>
      <w:proofErr w:type="spellEnd"/>
      <w:r>
        <w:t>.), Rapport Inra-</w:t>
      </w:r>
      <w:proofErr w:type="spellStart"/>
      <w:r>
        <w:t>Cirad</w:t>
      </w:r>
      <w:proofErr w:type="spellEnd"/>
      <w:r>
        <w:t xml:space="preserve"> (France), 60-85</w:t>
      </w:r>
    </w:p>
    <w:p w14:paraId="2B116483" w14:textId="77777777" w:rsidR="00AC096A" w:rsidRDefault="0037750D">
      <w:pPr>
        <w:rPr>
          <w:u w:val="single"/>
        </w:rPr>
      </w:pPr>
      <w:r w:rsidRPr="0037750D">
        <w:rPr>
          <w:u w:val="single"/>
        </w:rPr>
        <w:t xml:space="preserve">Fonctionnement </w:t>
      </w:r>
    </w:p>
    <w:p w14:paraId="5549C0F7" w14:textId="77777777" w:rsidR="0037750D" w:rsidRDefault="0037750D" w:rsidP="0037750D">
      <w:r w:rsidRPr="0037750D">
        <w:t>Torre A., (2002)</w:t>
      </w:r>
      <w:r>
        <w:t xml:space="preserve">, « Les AOC sont-elles des Clubs ? Réflexions sur les conditions de l’action collective localisée, entre coopération et règles formelles », </w:t>
      </w:r>
      <w:r w:rsidRPr="0037750D">
        <w:t>In Revue d’Economie Industrielle, 3ème Trimestre 2002, 100, 39-62.</w:t>
      </w:r>
    </w:p>
    <w:p w14:paraId="097CB999" w14:textId="77777777" w:rsidR="00183495" w:rsidRDefault="00183495" w:rsidP="0037750D">
      <w:pPr>
        <w:rPr>
          <w:u w:val="single"/>
        </w:rPr>
      </w:pPr>
      <w:r w:rsidRPr="00183495">
        <w:rPr>
          <w:u w:val="single"/>
        </w:rPr>
        <w:t xml:space="preserve">Case </w:t>
      </w:r>
      <w:proofErr w:type="spellStart"/>
      <w:r w:rsidRPr="00183495">
        <w:rPr>
          <w:u w:val="single"/>
        </w:rPr>
        <w:t>study</w:t>
      </w:r>
      <w:proofErr w:type="spellEnd"/>
    </w:p>
    <w:p w14:paraId="10E8CB59" w14:textId="77777777" w:rsidR="00183495" w:rsidRDefault="00183495" w:rsidP="00183495">
      <w:r w:rsidRPr="00183495">
        <w:t>MAAPAR 2003/2004</w:t>
      </w:r>
      <w:r>
        <w:t xml:space="preserve"> « Impact de l’utilisation d’une indication géographique sur l’agriculture et le développement rural – France - fromage de Comté » Ministère de l’agriculture, de l’alimentation, de la pèche et des affaires rurales.</w:t>
      </w:r>
    </w:p>
    <w:p w14:paraId="4DCDC19D" w14:textId="77777777" w:rsidR="001D3A74" w:rsidRDefault="001D3A74" w:rsidP="001D3A74">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Torre A. et Chia E. (2001), Pilotage d’une AOC fondée sur la confiance. Le cas de la production de fromage de</w:t>
      </w:r>
    </w:p>
    <w:p w14:paraId="69898B49" w14:textId="77777777" w:rsidR="001D3A74" w:rsidRDefault="001D3A74" w:rsidP="001D3A74">
      <w:pPr>
        <w:rPr>
          <w:rFonts w:ascii="TimesNewRoman" w:hAnsi="TimesNewRoman" w:cs="TimesNewRoman"/>
          <w:sz w:val="21"/>
          <w:szCs w:val="21"/>
        </w:rPr>
      </w:pPr>
      <w:r>
        <w:rPr>
          <w:rFonts w:ascii="TimesNewRoman" w:hAnsi="TimesNewRoman" w:cs="TimesNewRoman"/>
          <w:sz w:val="21"/>
          <w:szCs w:val="21"/>
        </w:rPr>
        <w:t xml:space="preserve">Comté, </w:t>
      </w:r>
      <w:r>
        <w:rPr>
          <w:rFonts w:ascii="TimesNewRoman,Italic" w:hAnsi="TimesNewRoman,Italic" w:cs="TimesNewRoman,Italic"/>
          <w:i/>
          <w:iCs/>
          <w:sz w:val="21"/>
          <w:szCs w:val="21"/>
        </w:rPr>
        <w:t>Annales des Mines, Gérer et Comprendre</w:t>
      </w:r>
      <w:r>
        <w:rPr>
          <w:rFonts w:ascii="TimesNewRoman" w:hAnsi="TimesNewRoman" w:cs="TimesNewRoman"/>
          <w:sz w:val="21"/>
          <w:szCs w:val="21"/>
        </w:rPr>
        <w:t>, 65, Septembre, 55-68.</w:t>
      </w:r>
    </w:p>
    <w:p w14:paraId="5CB154E5" w14:textId="77777777" w:rsidR="001D3A74" w:rsidRDefault="001D3A74" w:rsidP="001D3A74">
      <w:r>
        <w:t xml:space="preserve">André TORRE </w:t>
      </w:r>
      <w:r w:rsidRPr="001D3A74">
        <w:rPr>
          <w:i/>
        </w:rPr>
        <w:t>Les AOC sont-elles des Clubs ?</w:t>
      </w:r>
      <w:r>
        <w:rPr>
          <w:i/>
        </w:rPr>
        <w:t xml:space="preserve"> </w:t>
      </w:r>
      <w:r w:rsidRPr="001D3A74">
        <w:rPr>
          <w:i/>
        </w:rPr>
        <w:t>Réflexions sur les conditions de l’action collective localisée,</w:t>
      </w:r>
      <w:r>
        <w:rPr>
          <w:i/>
        </w:rPr>
        <w:t xml:space="preserve"> </w:t>
      </w:r>
      <w:r w:rsidRPr="001D3A74">
        <w:rPr>
          <w:i/>
        </w:rPr>
        <w:t>entre coopération et règles formelles</w:t>
      </w:r>
      <w:r>
        <w:t xml:space="preserve"> In Revue d’Economie Industrielle, 3ème Trimestre 2002, 100, 39-62.</w:t>
      </w:r>
    </w:p>
    <w:p w14:paraId="1A12CC2E" w14:textId="4C0A8652" w:rsidR="001D3A74" w:rsidRDefault="005F625C" w:rsidP="001D3A74">
      <w:pPr>
        <w:rPr>
          <w:rFonts w:ascii="Arial" w:hAnsi="Arial" w:cs="Arial"/>
          <w:color w:val="000000"/>
          <w:sz w:val="21"/>
          <w:szCs w:val="21"/>
          <w:shd w:val="clear" w:color="auto" w:fill="FFFFFF"/>
        </w:rPr>
      </w:pPr>
      <w:proofErr w:type="spellStart"/>
      <w:r>
        <w:rPr>
          <w:rFonts w:ascii="Arial" w:hAnsi="Arial" w:cs="Arial"/>
          <w:color w:val="000000"/>
          <w:sz w:val="21"/>
          <w:szCs w:val="21"/>
          <w:shd w:val="clear" w:color="auto" w:fill="FFFFFF"/>
        </w:rPr>
        <w:t>Jeanneaux</w:t>
      </w:r>
      <w:proofErr w:type="spellEnd"/>
      <w:r>
        <w:rPr>
          <w:rFonts w:ascii="Arial" w:hAnsi="Arial" w:cs="Arial"/>
          <w:color w:val="000000"/>
          <w:sz w:val="21"/>
          <w:szCs w:val="21"/>
          <w:shd w:val="clear" w:color="auto" w:fill="FFFFFF"/>
        </w:rPr>
        <w:t xml:space="preserve"> P., Meyer D., </w:t>
      </w:r>
      <w:proofErr w:type="spellStart"/>
      <w:r>
        <w:rPr>
          <w:rFonts w:ascii="Arial" w:hAnsi="Arial" w:cs="Arial"/>
          <w:color w:val="000000"/>
          <w:sz w:val="21"/>
          <w:szCs w:val="21"/>
          <w:shd w:val="clear" w:color="auto" w:fill="FFFFFF"/>
        </w:rPr>
        <w:t>Barjolle</w:t>
      </w:r>
      <w:proofErr w:type="spellEnd"/>
      <w:r>
        <w:rPr>
          <w:rFonts w:ascii="Arial" w:hAnsi="Arial" w:cs="Arial"/>
          <w:color w:val="000000"/>
          <w:sz w:val="21"/>
          <w:szCs w:val="21"/>
          <w:shd w:val="clear" w:color="auto" w:fill="FFFFFF"/>
        </w:rPr>
        <w:t xml:space="preserve"> D., 2011, Gouvernance des filières fromagères sous AOP et origine des prix de lait : un cadre d’analyse. 5</w:t>
      </w:r>
      <w:r>
        <w:rPr>
          <w:rFonts w:ascii="Arial" w:hAnsi="Arial" w:cs="Arial"/>
          <w:color w:val="000000"/>
          <w:sz w:val="16"/>
          <w:szCs w:val="16"/>
          <w:bdr w:val="none" w:sz="0" w:space="0" w:color="auto" w:frame="1"/>
          <w:shd w:val="clear" w:color="auto" w:fill="FFFFFF"/>
          <w:vertAlign w:val="superscript"/>
        </w:rPr>
        <w:t>e</w:t>
      </w:r>
      <w:r>
        <w:rPr>
          <w:rFonts w:ascii="Arial" w:hAnsi="Arial" w:cs="Arial"/>
          <w:color w:val="000000"/>
          <w:sz w:val="21"/>
          <w:szCs w:val="21"/>
          <w:shd w:val="clear" w:color="auto" w:fill="FFFFFF"/>
        </w:rPr>
        <w:t xml:space="preserve">journées de recherches en sciences sociales – </w:t>
      </w:r>
      <w:proofErr w:type="spellStart"/>
      <w:r>
        <w:rPr>
          <w:rFonts w:ascii="Arial" w:hAnsi="Arial" w:cs="Arial"/>
          <w:color w:val="000000"/>
          <w:sz w:val="21"/>
          <w:szCs w:val="21"/>
          <w:shd w:val="clear" w:color="auto" w:fill="FFFFFF"/>
        </w:rPr>
        <w:t>AgroSup</w:t>
      </w:r>
      <w:proofErr w:type="spellEnd"/>
      <w:r>
        <w:rPr>
          <w:rFonts w:ascii="Arial" w:hAnsi="Arial" w:cs="Arial"/>
          <w:color w:val="000000"/>
          <w:sz w:val="21"/>
          <w:szCs w:val="21"/>
          <w:shd w:val="clear" w:color="auto" w:fill="FFFFFF"/>
        </w:rPr>
        <w:t xml:space="preserve"> Dijon, 8 et 9 décembre 2011.</w:t>
      </w:r>
    </w:p>
    <w:p w14:paraId="665528EC" w14:textId="77777777" w:rsidR="00FC25B3" w:rsidRDefault="00FC25B3" w:rsidP="001D3A74">
      <w:pPr>
        <w:rPr>
          <w:rFonts w:ascii="Arial" w:hAnsi="Arial" w:cs="Arial"/>
          <w:color w:val="000000"/>
          <w:sz w:val="21"/>
          <w:szCs w:val="21"/>
          <w:shd w:val="clear" w:color="auto" w:fill="FFFFFF"/>
        </w:rPr>
      </w:pPr>
    </w:p>
    <w:p w14:paraId="461E4B42" w14:textId="51622E5C" w:rsidR="00CE3830" w:rsidRPr="00183495" w:rsidRDefault="00207205" w:rsidP="001D3A74">
      <w:r>
        <w:rPr>
          <w:rFonts w:ascii="Arial" w:hAnsi="Arial" w:cs="Arial"/>
          <w:color w:val="000000"/>
          <w:sz w:val="21"/>
          <w:szCs w:val="21"/>
          <w:shd w:val="clear" w:color="auto" w:fill="FFFFFF"/>
        </w:rPr>
        <w:t xml:space="preserve"> </w:t>
      </w:r>
      <w:r w:rsidR="00CE3830">
        <w:rPr>
          <w:rFonts w:ascii="Arial" w:hAnsi="Arial" w:cs="Arial"/>
          <w:color w:val="000000"/>
          <w:sz w:val="21"/>
          <w:szCs w:val="21"/>
          <w:shd w:val="clear" w:color="auto" w:fill="FFFFFF"/>
        </w:rPr>
        <w:t xml:space="preserve"> </w:t>
      </w:r>
    </w:p>
    <w:sectPr w:rsidR="00CE3830" w:rsidRPr="001834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4A00" w14:textId="77777777" w:rsidR="00727A52" w:rsidRDefault="00727A52" w:rsidP="0095479F">
      <w:pPr>
        <w:spacing w:after="0" w:line="240" w:lineRule="auto"/>
      </w:pPr>
      <w:r>
        <w:separator/>
      </w:r>
    </w:p>
  </w:endnote>
  <w:endnote w:type="continuationSeparator" w:id="0">
    <w:p w14:paraId="7B93B98D" w14:textId="77777777" w:rsidR="00727A52" w:rsidRDefault="00727A52" w:rsidP="0095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rusB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AD07" w14:textId="77777777" w:rsidR="00727A52" w:rsidRDefault="00727A52" w:rsidP="0095479F">
      <w:pPr>
        <w:spacing w:after="0" w:line="240" w:lineRule="auto"/>
      </w:pPr>
      <w:r>
        <w:separator/>
      </w:r>
    </w:p>
  </w:footnote>
  <w:footnote w:type="continuationSeparator" w:id="0">
    <w:p w14:paraId="459EAC7B" w14:textId="77777777" w:rsidR="00727A52" w:rsidRDefault="00727A52" w:rsidP="0095479F">
      <w:pPr>
        <w:spacing w:after="0" w:line="240" w:lineRule="auto"/>
      </w:pPr>
      <w:r>
        <w:continuationSeparator/>
      </w:r>
    </w:p>
  </w:footnote>
  <w:footnote w:id="1">
    <w:p w14:paraId="2E7F8EC8" w14:textId="77777777"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MAAPAR (2003/2004)</w:t>
      </w:r>
    </w:p>
  </w:footnote>
  <w:footnote w:id="2">
    <w:p w14:paraId="6E95498C" w14:textId="5FE24137"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ibid</w:t>
      </w:r>
    </w:p>
  </w:footnote>
  <w:footnote w:id="3">
    <w:p w14:paraId="70337738" w14:textId="65602845"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ibid</w:t>
      </w:r>
    </w:p>
  </w:footnote>
  <w:footnote w:id="4">
    <w:p w14:paraId="017186D3" w14:textId="53449C9F"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ibid</w:t>
      </w:r>
    </w:p>
  </w:footnote>
  <w:footnote w:id="5">
    <w:p w14:paraId="7B4DFA48" w14:textId="5899134D"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ibid</w:t>
      </w:r>
    </w:p>
  </w:footnote>
  <w:footnote w:id="6">
    <w:p w14:paraId="79878DBF" w14:textId="53D98940"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ibid</w:t>
      </w:r>
    </w:p>
  </w:footnote>
  <w:footnote w:id="7">
    <w:p w14:paraId="6055CBD9" w14:textId="6C5C7421"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ibid</w:t>
      </w:r>
    </w:p>
  </w:footnote>
  <w:footnote w:id="8">
    <w:p w14:paraId="567A4096" w14:textId="7CE865BC"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ibid</w:t>
      </w:r>
    </w:p>
  </w:footnote>
  <w:footnote w:id="9">
    <w:p w14:paraId="2B0CA4E4" w14:textId="13B9BF4A" w:rsidR="0095479F" w:rsidRPr="009051DE" w:rsidRDefault="0095479F" w:rsidP="0095479F">
      <w:pPr>
        <w:pStyle w:val="Notedebasdepage"/>
        <w:rPr>
          <w:sz w:val="16"/>
          <w:lang w:val="en-US"/>
        </w:rPr>
      </w:pPr>
      <w:r w:rsidRPr="009051DE">
        <w:rPr>
          <w:rStyle w:val="Appelnotedebasdep"/>
          <w:sz w:val="16"/>
        </w:rPr>
        <w:footnoteRef/>
      </w:r>
      <w:r w:rsidRPr="009051DE">
        <w:rPr>
          <w:sz w:val="16"/>
          <w:lang w:val="en-US"/>
        </w:rPr>
        <w:t xml:space="preserve"> </w:t>
      </w:r>
      <w:proofErr w:type="spellStart"/>
      <w:r w:rsidRPr="009051DE">
        <w:rPr>
          <w:sz w:val="16"/>
          <w:lang w:val="en-US"/>
        </w:rPr>
        <w:t>ibid</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49C4"/>
    <w:multiLevelType w:val="hybridMultilevel"/>
    <w:tmpl w:val="2FECF450"/>
    <w:lvl w:ilvl="0" w:tplc="A59C05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7F7F3D"/>
    <w:multiLevelType w:val="hybridMultilevel"/>
    <w:tmpl w:val="41B2B8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7439B2"/>
    <w:multiLevelType w:val="hybridMultilevel"/>
    <w:tmpl w:val="37984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D32960"/>
    <w:multiLevelType w:val="hybridMultilevel"/>
    <w:tmpl w:val="1C4ACBEA"/>
    <w:lvl w:ilvl="0" w:tplc="8A24EB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6C2C06"/>
    <w:multiLevelType w:val="hybridMultilevel"/>
    <w:tmpl w:val="289EA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521B9"/>
    <w:multiLevelType w:val="hybridMultilevel"/>
    <w:tmpl w:val="C05C0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16FF5"/>
    <w:multiLevelType w:val="hybridMultilevel"/>
    <w:tmpl w:val="8E6EA264"/>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7" w15:restartNumberingAfterBreak="0">
    <w:nsid w:val="34B71F4E"/>
    <w:multiLevelType w:val="hybridMultilevel"/>
    <w:tmpl w:val="353ED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734F91"/>
    <w:multiLevelType w:val="hybridMultilevel"/>
    <w:tmpl w:val="7CE26D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355922"/>
    <w:multiLevelType w:val="hybridMultilevel"/>
    <w:tmpl w:val="6D364CC0"/>
    <w:lvl w:ilvl="0" w:tplc="8A24EB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7C50FB"/>
    <w:multiLevelType w:val="hybridMultilevel"/>
    <w:tmpl w:val="CBF2B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5B1A52"/>
    <w:multiLevelType w:val="hybridMultilevel"/>
    <w:tmpl w:val="F1225A4A"/>
    <w:lvl w:ilvl="0" w:tplc="087264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115B55"/>
    <w:multiLevelType w:val="hybridMultilevel"/>
    <w:tmpl w:val="077207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EE3F0B"/>
    <w:multiLevelType w:val="hybridMultilevel"/>
    <w:tmpl w:val="63EA7164"/>
    <w:lvl w:ilvl="0" w:tplc="8A24EB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127B85"/>
    <w:multiLevelType w:val="hybridMultilevel"/>
    <w:tmpl w:val="E81C34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F550FE"/>
    <w:multiLevelType w:val="hybridMultilevel"/>
    <w:tmpl w:val="C76030F6"/>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16" w15:restartNumberingAfterBreak="0">
    <w:nsid w:val="632841F4"/>
    <w:multiLevelType w:val="multilevel"/>
    <w:tmpl w:val="9A0A119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46F30F1"/>
    <w:multiLevelType w:val="hybridMultilevel"/>
    <w:tmpl w:val="5B02F666"/>
    <w:lvl w:ilvl="0" w:tplc="A59C05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A36FCE"/>
    <w:multiLevelType w:val="hybridMultilevel"/>
    <w:tmpl w:val="238E7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84006F"/>
    <w:multiLevelType w:val="hybridMultilevel"/>
    <w:tmpl w:val="8094211A"/>
    <w:lvl w:ilvl="0" w:tplc="8A24EB3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8"/>
  </w:num>
  <w:num w:numId="5">
    <w:abstractNumId w:val="10"/>
  </w:num>
  <w:num w:numId="6">
    <w:abstractNumId w:val="12"/>
  </w:num>
  <w:num w:numId="7">
    <w:abstractNumId w:val="2"/>
  </w:num>
  <w:num w:numId="8">
    <w:abstractNumId w:val="5"/>
  </w:num>
  <w:num w:numId="9">
    <w:abstractNumId w:val="7"/>
  </w:num>
  <w:num w:numId="10">
    <w:abstractNumId w:val="4"/>
  </w:num>
  <w:num w:numId="11">
    <w:abstractNumId w:val="15"/>
  </w:num>
  <w:num w:numId="12">
    <w:abstractNumId w:val="13"/>
  </w:num>
  <w:num w:numId="13">
    <w:abstractNumId w:val="3"/>
  </w:num>
  <w:num w:numId="14">
    <w:abstractNumId w:val="19"/>
  </w:num>
  <w:num w:numId="15">
    <w:abstractNumId w:val="9"/>
  </w:num>
  <w:num w:numId="16">
    <w:abstractNumId w:val="16"/>
  </w:num>
  <w:num w:numId="17">
    <w:abstractNumId w:val="11"/>
  </w:num>
  <w:num w:numId="18">
    <w:abstractNumId w:val="17"/>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A3"/>
    <w:rsid w:val="000844CF"/>
    <w:rsid w:val="00094E73"/>
    <w:rsid w:val="000B5049"/>
    <w:rsid w:val="000B70F5"/>
    <w:rsid w:val="000D3FEB"/>
    <w:rsid w:val="000F2974"/>
    <w:rsid w:val="00162DE5"/>
    <w:rsid w:val="00172758"/>
    <w:rsid w:val="00183495"/>
    <w:rsid w:val="00193B4D"/>
    <w:rsid w:val="001A574F"/>
    <w:rsid w:val="001B52F8"/>
    <w:rsid w:val="001C3B70"/>
    <w:rsid w:val="001D3A74"/>
    <w:rsid w:val="001F5A63"/>
    <w:rsid w:val="00207205"/>
    <w:rsid w:val="00252538"/>
    <w:rsid w:val="00267341"/>
    <w:rsid w:val="00283803"/>
    <w:rsid w:val="00293371"/>
    <w:rsid w:val="00311BBE"/>
    <w:rsid w:val="0032077E"/>
    <w:rsid w:val="00355664"/>
    <w:rsid w:val="00367DD9"/>
    <w:rsid w:val="0037750D"/>
    <w:rsid w:val="003974E7"/>
    <w:rsid w:val="003B25AF"/>
    <w:rsid w:val="003C6D99"/>
    <w:rsid w:val="003D3D65"/>
    <w:rsid w:val="003D4A15"/>
    <w:rsid w:val="003E78DB"/>
    <w:rsid w:val="003F3A4B"/>
    <w:rsid w:val="003F551B"/>
    <w:rsid w:val="00417DCA"/>
    <w:rsid w:val="00457882"/>
    <w:rsid w:val="00464C89"/>
    <w:rsid w:val="004778B5"/>
    <w:rsid w:val="004A4239"/>
    <w:rsid w:val="004A46EE"/>
    <w:rsid w:val="004B2714"/>
    <w:rsid w:val="004D355A"/>
    <w:rsid w:val="004D7CA6"/>
    <w:rsid w:val="004F0C1F"/>
    <w:rsid w:val="005210D5"/>
    <w:rsid w:val="0052281E"/>
    <w:rsid w:val="005231B1"/>
    <w:rsid w:val="005231E0"/>
    <w:rsid w:val="005367D2"/>
    <w:rsid w:val="00546ACC"/>
    <w:rsid w:val="00583C68"/>
    <w:rsid w:val="0058778E"/>
    <w:rsid w:val="005B4F28"/>
    <w:rsid w:val="005D2399"/>
    <w:rsid w:val="005E3963"/>
    <w:rsid w:val="005F625C"/>
    <w:rsid w:val="00604AE0"/>
    <w:rsid w:val="0063708C"/>
    <w:rsid w:val="00674FAB"/>
    <w:rsid w:val="006A3C44"/>
    <w:rsid w:val="006C2916"/>
    <w:rsid w:val="006C7454"/>
    <w:rsid w:val="006D64C8"/>
    <w:rsid w:val="00726E2F"/>
    <w:rsid w:val="00727070"/>
    <w:rsid w:val="00727A52"/>
    <w:rsid w:val="00731DCF"/>
    <w:rsid w:val="0076666D"/>
    <w:rsid w:val="00770198"/>
    <w:rsid w:val="00776EAA"/>
    <w:rsid w:val="007A304C"/>
    <w:rsid w:val="007A6968"/>
    <w:rsid w:val="007C0A12"/>
    <w:rsid w:val="007F4793"/>
    <w:rsid w:val="008068D5"/>
    <w:rsid w:val="00825803"/>
    <w:rsid w:val="00830B0C"/>
    <w:rsid w:val="008369AF"/>
    <w:rsid w:val="00852447"/>
    <w:rsid w:val="0088517F"/>
    <w:rsid w:val="008966DB"/>
    <w:rsid w:val="008A0B16"/>
    <w:rsid w:val="008A683C"/>
    <w:rsid w:val="008C25D4"/>
    <w:rsid w:val="008E5E1E"/>
    <w:rsid w:val="008E7E81"/>
    <w:rsid w:val="00901817"/>
    <w:rsid w:val="009051DE"/>
    <w:rsid w:val="00923206"/>
    <w:rsid w:val="00925556"/>
    <w:rsid w:val="009261BB"/>
    <w:rsid w:val="0095479F"/>
    <w:rsid w:val="009975AE"/>
    <w:rsid w:val="009B7A93"/>
    <w:rsid w:val="009D4120"/>
    <w:rsid w:val="009E315D"/>
    <w:rsid w:val="009E6EFB"/>
    <w:rsid w:val="009F2703"/>
    <w:rsid w:val="00A01031"/>
    <w:rsid w:val="00A137A6"/>
    <w:rsid w:val="00A27609"/>
    <w:rsid w:val="00AA7E81"/>
    <w:rsid w:val="00AC096A"/>
    <w:rsid w:val="00B103A8"/>
    <w:rsid w:val="00B318BD"/>
    <w:rsid w:val="00B4538C"/>
    <w:rsid w:val="00B73291"/>
    <w:rsid w:val="00B81EDD"/>
    <w:rsid w:val="00B966E5"/>
    <w:rsid w:val="00BC509E"/>
    <w:rsid w:val="00BD5E3C"/>
    <w:rsid w:val="00BD78E5"/>
    <w:rsid w:val="00C0154F"/>
    <w:rsid w:val="00C27454"/>
    <w:rsid w:val="00C31DD3"/>
    <w:rsid w:val="00C477D8"/>
    <w:rsid w:val="00C51233"/>
    <w:rsid w:val="00C623E4"/>
    <w:rsid w:val="00C73E55"/>
    <w:rsid w:val="00CB3EFD"/>
    <w:rsid w:val="00CC0DE9"/>
    <w:rsid w:val="00CD34ED"/>
    <w:rsid w:val="00CE0744"/>
    <w:rsid w:val="00CE1876"/>
    <w:rsid w:val="00CE3830"/>
    <w:rsid w:val="00D02AFA"/>
    <w:rsid w:val="00D14DC7"/>
    <w:rsid w:val="00D156A5"/>
    <w:rsid w:val="00D17B78"/>
    <w:rsid w:val="00D256EF"/>
    <w:rsid w:val="00D66E81"/>
    <w:rsid w:val="00DB2574"/>
    <w:rsid w:val="00DC467C"/>
    <w:rsid w:val="00DD117A"/>
    <w:rsid w:val="00DD476C"/>
    <w:rsid w:val="00DD6FF9"/>
    <w:rsid w:val="00DD7B02"/>
    <w:rsid w:val="00E05B95"/>
    <w:rsid w:val="00E25A4A"/>
    <w:rsid w:val="00E27636"/>
    <w:rsid w:val="00E67EB9"/>
    <w:rsid w:val="00E72615"/>
    <w:rsid w:val="00E734E4"/>
    <w:rsid w:val="00EF4DA3"/>
    <w:rsid w:val="00F03C7F"/>
    <w:rsid w:val="00F223BE"/>
    <w:rsid w:val="00F24CFE"/>
    <w:rsid w:val="00F3667C"/>
    <w:rsid w:val="00F552FE"/>
    <w:rsid w:val="00F75CB2"/>
    <w:rsid w:val="00F75EAD"/>
    <w:rsid w:val="00F77262"/>
    <w:rsid w:val="00F94D00"/>
    <w:rsid w:val="00FC25B3"/>
    <w:rsid w:val="00FD6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78C"/>
  <w15:docId w15:val="{7F91630C-2C0C-4371-BA21-ED2CB2B0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6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26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DA3"/>
    <w:pPr>
      <w:ind w:left="720"/>
      <w:contextualSpacing/>
    </w:pPr>
  </w:style>
  <w:style w:type="paragraph" w:styleId="Textedebulles">
    <w:name w:val="Balloon Text"/>
    <w:basedOn w:val="Normal"/>
    <w:link w:val="TextedebullesCar"/>
    <w:uiPriority w:val="99"/>
    <w:semiHidden/>
    <w:unhideWhenUsed/>
    <w:rsid w:val="00F94D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D00"/>
    <w:rPr>
      <w:rFonts w:ascii="Segoe UI" w:hAnsi="Segoe UI" w:cs="Segoe UI"/>
      <w:sz w:val="18"/>
      <w:szCs w:val="18"/>
    </w:rPr>
  </w:style>
  <w:style w:type="character" w:customStyle="1" w:styleId="apple-converted-space">
    <w:name w:val="apple-converted-space"/>
    <w:basedOn w:val="Policepardfaut"/>
    <w:rsid w:val="005367D2"/>
  </w:style>
  <w:style w:type="character" w:styleId="Lienhypertexte">
    <w:name w:val="Hyperlink"/>
    <w:basedOn w:val="Policepardfaut"/>
    <w:uiPriority w:val="99"/>
    <w:semiHidden/>
    <w:unhideWhenUsed/>
    <w:rsid w:val="0037750D"/>
    <w:rPr>
      <w:color w:val="0000FF"/>
      <w:u w:val="single"/>
    </w:rPr>
  </w:style>
  <w:style w:type="character" w:styleId="Marquedecommentaire">
    <w:name w:val="annotation reference"/>
    <w:basedOn w:val="Policepardfaut"/>
    <w:uiPriority w:val="99"/>
    <w:semiHidden/>
    <w:unhideWhenUsed/>
    <w:rsid w:val="00BD78E5"/>
    <w:rPr>
      <w:sz w:val="16"/>
      <w:szCs w:val="16"/>
    </w:rPr>
  </w:style>
  <w:style w:type="paragraph" w:styleId="Commentaire">
    <w:name w:val="annotation text"/>
    <w:basedOn w:val="Normal"/>
    <w:link w:val="CommentaireCar"/>
    <w:uiPriority w:val="99"/>
    <w:semiHidden/>
    <w:unhideWhenUsed/>
    <w:rsid w:val="00BD78E5"/>
    <w:pPr>
      <w:spacing w:line="240" w:lineRule="auto"/>
    </w:pPr>
    <w:rPr>
      <w:sz w:val="20"/>
      <w:szCs w:val="20"/>
    </w:rPr>
  </w:style>
  <w:style w:type="character" w:customStyle="1" w:styleId="CommentaireCar">
    <w:name w:val="Commentaire Car"/>
    <w:basedOn w:val="Policepardfaut"/>
    <w:link w:val="Commentaire"/>
    <w:uiPriority w:val="99"/>
    <w:semiHidden/>
    <w:rsid w:val="00BD78E5"/>
    <w:rPr>
      <w:sz w:val="20"/>
      <w:szCs w:val="20"/>
    </w:rPr>
  </w:style>
  <w:style w:type="paragraph" w:styleId="Objetducommentaire">
    <w:name w:val="annotation subject"/>
    <w:basedOn w:val="Commentaire"/>
    <w:next w:val="Commentaire"/>
    <w:link w:val="ObjetducommentaireCar"/>
    <w:uiPriority w:val="99"/>
    <w:semiHidden/>
    <w:unhideWhenUsed/>
    <w:rsid w:val="00BD78E5"/>
    <w:rPr>
      <w:b/>
      <w:bCs/>
    </w:rPr>
  </w:style>
  <w:style w:type="character" w:customStyle="1" w:styleId="ObjetducommentaireCar">
    <w:name w:val="Objet du commentaire Car"/>
    <w:basedOn w:val="CommentaireCar"/>
    <w:link w:val="Objetducommentaire"/>
    <w:uiPriority w:val="99"/>
    <w:semiHidden/>
    <w:rsid w:val="00BD78E5"/>
    <w:rPr>
      <w:b/>
      <w:bCs/>
      <w:sz w:val="20"/>
      <w:szCs w:val="20"/>
    </w:rPr>
  </w:style>
  <w:style w:type="paragraph" w:styleId="Rvision">
    <w:name w:val="Revision"/>
    <w:hidden/>
    <w:uiPriority w:val="99"/>
    <w:semiHidden/>
    <w:rsid w:val="001D3A74"/>
    <w:pPr>
      <w:spacing w:after="0" w:line="240" w:lineRule="auto"/>
    </w:pPr>
  </w:style>
  <w:style w:type="character" w:customStyle="1" w:styleId="Titre1Car">
    <w:name w:val="Titre 1 Car"/>
    <w:basedOn w:val="Policepardfaut"/>
    <w:link w:val="Titre1"/>
    <w:uiPriority w:val="9"/>
    <w:rsid w:val="009261B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261BB"/>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9547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479F"/>
    <w:rPr>
      <w:sz w:val="20"/>
      <w:szCs w:val="20"/>
    </w:rPr>
  </w:style>
  <w:style w:type="character" w:styleId="Appelnotedebasdep">
    <w:name w:val="footnote reference"/>
    <w:basedOn w:val="Policepardfaut"/>
    <w:uiPriority w:val="99"/>
    <w:semiHidden/>
    <w:unhideWhenUsed/>
    <w:rsid w:val="0095479F"/>
    <w:rPr>
      <w:vertAlign w:val="superscript"/>
    </w:rPr>
  </w:style>
  <w:style w:type="paragraph" w:styleId="En-tte">
    <w:name w:val="header"/>
    <w:basedOn w:val="Normal"/>
    <w:link w:val="En-tteCar"/>
    <w:uiPriority w:val="99"/>
    <w:unhideWhenUsed/>
    <w:rsid w:val="00D156A5"/>
    <w:pPr>
      <w:tabs>
        <w:tab w:val="center" w:pos="4536"/>
        <w:tab w:val="right" w:pos="9072"/>
      </w:tabs>
      <w:spacing w:after="0" w:line="240" w:lineRule="auto"/>
    </w:pPr>
  </w:style>
  <w:style w:type="character" w:customStyle="1" w:styleId="En-tteCar">
    <w:name w:val="En-tête Car"/>
    <w:basedOn w:val="Policepardfaut"/>
    <w:link w:val="En-tte"/>
    <w:uiPriority w:val="99"/>
    <w:rsid w:val="00D156A5"/>
  </w:style>
  <w:style w:type="paragraph" w:styleId="Pieddepage">
    <w:name w:val="footer"/>
    <w:basedOn w:val="Normal"/>
    <w:link w:val="PieddepageCar"/>
    <w:uiPriority w:val="99"/>
    <w:unhideWhenUsed/>
    <w:rsid w:val="00D156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iteseerx.ist.psu.edu/showciting;jsessionid=D045633D53D9C7663042EC3A9E471362?cid=1290625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22BF-FED5-40B6-BF95-BC3CDFD3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3265</Words>
  <Characters>17958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fabiano</dc:creator>
  <cp:keywords/>
  <dc:description/>
  <cp:lastModifiedBy>christophe ALLIOT</cp:lastModifiedBy>
  <cp:revision>20</cp:revision>
  <cp:lastPrinted>2015-09-21T17:01:00Z</cp:lastPrinted>
  <dcterms:created xsi:type="dcterms:W3CDTF">2015-09-21T15:36:00Z</dcterms:created>
  <dcterms:modified xsi:type="dcterms:W3CDTF">2016-08-28T21:55:00Z</dcterms:modified>
</cp:coreProperties>
</file>